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D43A2" w14:textId="77777777" w:rsidR="008166B6" w:rsidRDefault="00000000">
      <w:pPr>
        <w:spacing w:after="200"/>
        <w:jc w:val="center"/>
        <w:rPr>
          <w:b/>
          <w:bCs/>
          <w:color w:val="1F3864"/>
          <w:sz w:val="36"/>
          <w:szCs w:val="36"/>
        </w:rPr>
      </w:pPr>
      <w:r>
        <w:rPr>
          <w:b/>
          <w:bCs/>
          <w:color w:val="1F3864"/>
          <w:sz w:val="36"/>
          <w:szCs w:val="36"/>
        </w:rPr>
        <w:t>Content Publication Workflow</w:t>
      </w:r>
    </w:p>
    <w:p w14:paraId="22408FEC" w14:textId="77777777" w:rsidR="008166B6" w:rsidRDefault="008166B6">
      <w:pPr>
        <w:spacing w:after="200"/>
        <w:jc w:val="center"/>
        <w:rPr>
          <w:b/>
          <w:bCs/>
          <w:color w:val="1F3864"/>
          <w:sz w:val="18"/>
          <w:szCs w:val="18"/>
        </w:rPr>
      </w:pPr>
      <w:r>
        <w:rPr>
          <w:b/>
          <w:bCs/>
          <w:color w:val="1F3864"/>
          <w:sz w:val="36"/>
          <w:szCs w:val="36"/>
        </w:rPr>
        <w:t xml:space="preserve">Current Working Model </w:t>
      </w:r>
    </w:p>
    <w:p w14:paraId="0D9B943C" w14:textId="7F55AAE4" w:rsidR="00CA2F93" w:rsidRDefault="008166B6">
      <w:pPr>
        <w:spacing w:after="200"/>
        <w:jc w:val="center"/>
      </w:pPr>
      <w:r w:rsidRPr="008166B6">
        <w:rPr>
          <w:b/>
          <w:bCs/>
          <w:color w:val="1F3864"/>
          <w:sz w:val="18"/>
          <w:szCs w:val="18"/>
        </w:rPr>
        <w:t>Gen2 Design is In-Progress</w:t>
      </w:r>
      <w:r w:rsidR="009338BC">
        <w:rPr>
          <w:b/>
          <w:bCs/>
          <w:color w:val="1F3864"/>
          <w:sz w:val="18"/>
          <w:szCs w:val="18"/>
        </w:rPr>
        <w:t xml:space="preserve"> and subject to change.</w:t>
      </w:r>
    </w:p>
    <w:p w14:paraId="24927F2A" w14:textId="77777777" w:rsidR="00CA2F93" w:rsidRDefault="00000000">
      <w:pPr>
        <w:spacing w:after="400"/>
        <w:jc w:val="center"/>
        <w:rPr>
          <w:color w:val="595959"/>
          <w:sz w:val="24"/>
          <w:szCs w:val="24"/>
        </w:rPr>
      </w:pPr>
      <w:r>
        <w:rPr>
          <w:color w:val="595959"/>
          <w:sz w:val="24"/>
          <w:szCs w:val="24"/>
        </w:rPr>
        <w:t>Gen 1 vs Gen 2  |  Process Comparison</w:t>
      </w:r>
    </w:p>
    <w:p w14:paraId="11B3E013" w14:textId="66AD051B" w:rsidR="00F24132" w:rsidRPr="00F24132" w:rsidRDefault="00F24132" w:rsidP="00F24132">
      <w:pPr>
        <w:spacing w:after="400"/>
        <w:jc w:val="center"/>
        <w:rPr>
          <w:color w:val="595959"/>
          <w:sz w:val="24"/>
          <w:szCs w:val="24"/>
        </w:rPr>
      </w:pPr>
    </w:p>
    <w:p w14:paraId="23253F08" w14:textId="77777777" w:rsidR="00CA2F93" w:rsidRDefault="00000000">
      <w:pPr>
        <w:spacing w:before="280" w:after="160"/>
      </w:pPr>
      <w:r>
        <w:rPr>
          <w:b/>
          <w:bCs/>
          <w:color w:val="1F3864"/>
          <w:sz w:val="28"/>
          <w:szCs w:val="28"/>
        </w:rPr>
        <w:t>Executive Summary</w:t>
      </w:r>
    </w:p>
    <w:p w14:paraId="66EFE866" w14:textId="77777777" w:rsidR="00CA2F93" w:rsidRDefault="00000000">
      <w:pPr>
        <w:spacing w:after="160"/>
      </w:pPr>
      <w:r>
        <w:t>This document describes the content publication workflow used to manage pharmaceutical data from active research through to production release. It compares the current system (Gen 1) with the planned next generation (Gen 2), identifying where the two approaches differ and what work is required to move forward.</w:t>
      </w:r>
    </w:p>
    <w:p w14:paraId="1CB390BC" w14:textId="77777777" w:rsidR="00CA2F93" w:rsidRDefault="00CA2F93">
      <w:pPr>
        <w:spacing w:after="120"/>
      </w:pPr>
    </w:p>
    <w:p w14:paraId="2FC4438E" w14:textId="77777777" w:rsidR="00CA2F93" w:rsidRDefault="00000000">
      <w:pPr>
        <w:spacing w:after="160"/>
      </w:pPr>
      <w:r>
        <w:t>Both generations share the same four-status lifecycle -- Work, Testing, Ready, and Quit -- which governs when Research can edit content and when that content is eligible for publication. This model is not changing.</w:t>
      </w:r>
    </w:p>
    <w:p w14:paraId="17606E76" w14:textId="77777777" w:rsidR="00CA2F93" w:rsidRDefault="00CA2F93">
      <w:pPr>
        <w:spacing w:after="120"/>
      </w:pPr>
    </w:p>
    <w:p w14:paraId="697A7078" w14:textId="77777777" w:rsidR="00CA2F93" w:rsidRDefault="00000000">
      <w:pPr>
        <w:spacing w:after="160"/>
      </w:pPr>
      <w:r>
        <w:t>The core limitation of Gen 1 is scope: every publication pulls the entire database for a given country as a single unit. There is no mechanism to release one content area independently of another. Dependencies between content areas are handled implicitly, verified during a pre-validation pass before the system-level approval is submitted. This approach is functional but blunt -- a change to a single content area requires a full country-level release.</w:t>
      </w:r>
    </w:p>
    <w:p w14:paraId="19399000" w14:textId="77777777" w:rsidR="00CA2F93" w:rsidRDefault="00CA2F93">
      <w:pPr>
        <w:spacing w:after="120"/>
      </w:pPr>
    </w:p>
    <w:p w14:paraId="505612C3" w14:textId="77777777" w:rsidR="00CA2F93" w:rsidRDefault="00000000">
      <w:pPr>
        <w:spacing w:after="160"/>
      </w:pPr>
      <w:r>
        <w:t>Gen 2 addresses this by introducing explicitly defined data trees. Each content area and its dependencies are mapped at the atomic level, forming a discrete, self-contained unit that can be approved, pulled, and published independently. This enables multiple simultaneous releases scoped by content area and country, reduces the blast radius of any single release, and creates a foundation for more frequent, lower-risk publications. Critically, Gen 2 moves away from full database builds entirely -- publications will be incremental, delivering only the changed content and its dependencies rather than rebuilding the entire country dataset on every release. Gen 2 may also support targeted micro-updates for isolated, well-defined changes -- such as a drug name correction -- where only the affected record and its immediate dependencies need to be published, with no requirement to process the full content set.</w:t>
      </w:r>
    </w:p>
    <w:p w14:paraId="111A969D" w14:textId="77777777" w:rsidR="00CA2F93" w:rsidRDefault="00CA2F93">
      <w:pPr>
        <w:spacing w:after="120"/>
      </w:pPr>
    </w:p>
    <w:p w14:paraId="4410BB5C" w14:textId="77777777" w:rsidR="00CA2F93" w:rsidRDefault="00000000">
      <w:pPr>
        <w:spacing w:after="160"/>
      </w:pPr>
      <w:r>
        <w:t>The edit-lock behavior also tightens in Gen 2. In Gen 1, content remains editable at the row level until Research submits a system-level approval in the CDR Dashboard. In Gen 2, the lock is applied at the point of approval for each individual content unit, preventing modification of that unit and its dependencies until the pull is complete and validated. Status then resets from R to Q, returning edit access to Research.</w:t>
      </w:r>
    </w:p>
    <w:p w14:paraId="50F08659" w14:textId="77777777" w:rsidR="00CA2F93" w:rsidRDefault="00CA2F93">
      <w:pPr>
        <w:spacing w:after="120"/>
      </w:pPr>
    </w:p>
    <w:p w14:paraId="365EDA93" w14:textId="12BEA21A" w:rsidR="00CA2F93" w:rsidRDefault="00000000">
      <w:pPr>
        <w:spacing w:after="160"/>
      </w:pPr>
      <w:r>
        <w:lastRenderedPageBreak/>
        <w:t>Data validation is handled differently between the two generations. Gen 1 relies on explicit pre- and post-publication validation processes to verify that all dependencies are present</w:t>
      </w:r>
      <w:r w:rsidR="00487E03">
        <w:t xml:space="preserve"> (relational)</w:t>
      </w:r>
      <w:r>
        <w:t xml:space="preserve"> and consistent</w:t>
      </w:r>
      <w:r w:rsidR="00487E03">
        <w:t xml:space="preserve"> (business rules)</w:t>
      </w:r>
      <w:r>
        <w:t xml:space="preserve"> before and after the pull. These steps are necessary because the pull scope is broad and dependency relationships are not formally defined in the system. In Gen 2, dependency validation is handled by design -- because each data tree explicitly enumerates every required dependency for a content area, completeness is guaranteed before the pull begins. Pre-publication dependency checks become structural rather than procedural, and post-publication validation can focus on data integrity</w:t>
      </w:r>
      <w:r w:rsidR="00487E03">
        <w:t xml:space="preserve"> and business rules</w:t>
      </w:r>
      <w:r>
        <w:t xml:space="preserve"> rather than resolving missing relationships.</w:t>
      </w:r>
    </w:p>
    <w:p w14:paraId="6FF415DC" w14:textId="77777777" w:rsidR="00CA2F93" w:rsidRDefault="00CA2F93">
      <w:pPr>
        <w:spacing w:after="120"/>
      </w:pPr>
    </w:p>
    <w:p w14:paraId="01F79EAC" w14:textId="702CABB1" w:rsidR="00CA2F93" w:rsidRDefault="00000000">
      <w:pPr>
        <w:spacing w:after="160"/>
      </w:pPr>
      <w:r>
        <w:t>The primary prerequisite for Gen 2 is the upfront definition of data trees</w:t>
      </w:r>
      <w:r w:rsidR="00487E03">
        <w:t xml:space="preserve"> or </w:t>
      </w:r>
      <w:r>
        <w:t xml:space="preserve">a </w:t>
      </w:r>
      <w:r w:rsidR="00487E03">
        <w:t>“</w:t>
      </w:r>
      <w:r>
        <w:t>forest model</w:t>
      </w:r>
      <w:r w:rsidR="00487E03">
        <w:t>”</w:t>
      </w:r>
      <w:r>
        <w:t xml:space="preserve"> that maps every content set to its full dependency chain. This work must be completed before Gen 2 pull logic can be implemented. The status reference and detailed comparison below document both the current state and the target state for each process area.</w:t>
      </w:r>
    </w:p>
    <w:p w14:paraId="138EE8CE" w14:textId="77777777" w:rsidR="00CA2F93" w:rsidRDefault="00CA2F93">
      <w:pPr>
        <w:spacing w:after="360"/>
      </w:pPr>
    </w:p>
    <w:p w14:paraId="08F8E2A9" w14:textId="4BD5DD3A" w:rsidR="00F24132" w:rsidRDefault="00F24132">
      <w:pPr>
        <w:spacing w:after="360"/>
      </w:pPr>
      <w:r w:rsidRPr="00F24132">
        <w:rPr>
          <w:color w:val="595959"/>
          <w:sz w:val="24"/>
          <w:szCs w:val="24"/>
        </w:rPr>
        <w:drawing>
          <wp:inline distT="0" distB="0" distL="0" distR="0" wp14:anchorId="6694E00C" wp14:editId="78640E5D">
            <wp:extent cx="2273300" cy="2425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85335" cy="2438542"/>
                    </a:xfrm>
                    <a:prstGeom prst="rect">
                      <a:avLst/>
                    </a:prstGeom>
                  </pic:spPr>
                </pic:pic>
              </a:graphicData>
            </a:graphic>
          </wp:inline>
        </w:drawing>
      </w:r>
    </w:p>
    <w:p w14:paraId="6C85E2C7" w14:textId="77777777" w:rsidR="00CA2F93" w:rsidRDefault="00000000">
      <w:pPr>
        <w:spacing w:before="280" w:after="160"/>
      </w:pPr>
      <w:r>
        <w:rPr>
          <w:b/>
          <w:bCs/>
          <w:color w:val="1F3864"/>
          <w:sz w:val="28"/>
          <w:szCs w:val="28"/>
        </w:rPr>
        <w:t>Status Reference</w:t>
      </w:r>
    </w:p>
    <w:p w14:paraId="6759E91F" w14:textId="77777777" w:rsidR="00CA2F93" w:rsidRDefault="00000000">
      <w:pPr>
        <w:spacing w:after="160"/>
      </w:pPr>
      <w:r>
        <w:t>Content moves through four statuses during its creation and publication lifecycle. The status model is the same in both Gen 1 and Gen 2.</w:t>
      </w:r>
    </w:p>
    <w:p w14:paraId="7F513BC6" w14:textId="77777777" w:rsidR="00CA2F93" w:rsidRDefault="00CA2F93">
      <w:pPr>
        <w:spacing w:after="1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800"/>
        <w:gridCol w:w="2000"/>
        <w:gridCol w:w="2360"/>
        <w:gridCol w:w="2400"/>
      </w:tblGrid>
      <w:tr w:rsidR="00CA2F93" w14:paraId="7C758E54" w14:textId="77777777">
        <w:trPr>
          <w:tblHeader/>
        </w:trPr>
        <w:tc>
          <w:tcPr>
            <w:tcW w:w="1800" w:type="dxa"/>
            <w:tcBorders>
              <w:top w:val="single" w:sz="1" w:space="0" w:color="999999"/>
              <w:left w:val="single" w:sz="1" w:space="0" w:color="999999"/>
              <w:bottom w:val="single" w:sz="1" w:space="0" w:color="999999"/>
              <w:right w:val="single" w:sz="1" w:space="0" w:color="999999"/>
            </w:tcBorders>
            <w:shd w:val="clear" w:color="auto" w:fill="1F3864"/>
            <w:tcMar>
              <w:top w:w="120" w:type="dxa"/>
              <w:left w:w="150" w:type="dxa"/>
              <w:bottom w:w="120" w:type="dxa"/>
              <w:right w:w="150" w:type="dxa"/>
            </w:tcMar>
            <w:vAlign w:val="center"/>
          </w:tcPr>
          <w:p w14:paraId="6A6F223F" w14:textId="77777777" w:rsidR="00CA2F93" w:rsidRDefault="00000000">
            <w:pPr>
              <w:jc w:val="center"/>
            </w:pPr>
            <w:r>
              <w:rPr>
                <w:b/>
                <w:bCs/>
                <w:color w:val="FFFFFF"/>
              </w:rPr>
              <w:t>Status</w:t>
            </w:r>
          </w:p>
        </w:tc>
        <w:tc>
          <w:tcPr>
            <w:tcW w:w="800" w:type="dxa"/>
            <w:tcBorders>
              <w:top w:val="single" w:sz="1" w:space="0" w:color="999999"/>
              <w:left w:val="single" w:sz="1" w:space="0" w:color="999999"/>
              <w:bottom w:val="single" w:sz="1" w:space="0" w:color="999999"/>
              <w:right w:val="single" w:sz="1" w:space="0" w:color="999999"/>
            </w:tcBorders>
            <w:shd w:val="clear" w:color="auto" w:fill="1F3864"/>
            <w:tcMar>
              <w:top w:w="120" w:type="dxa"/>
              <w:left w:w="150" w:type="dxa"/>
              <w:bottom w:w="120" w:type="dxa"/>
              <w:right w:w="150" w:type="dxa"/>
            </w:tcMar>
            <w:vAlign w:val="center"/>
          </w:tcPr>
          <w:p w14:paraId="4481CCE3" w14:textId="77777777" w:rsidR="00CA2F93" w:rsidRDefault="00000000">
            <w:pPr>
              <w:jc w:val="center"/>
            </w:pPr>
            <w:r>
              <w:rPr>
                <w:b/>
                <w:bCs/>
                <w:color w:val="FFFFFF"/>
              </w:rPr>
              <w:t>Code</w:t>
            </w:r>
          </w:p>
        </w:tc>
        <w:tc>
          <w:tcPr>
            <w:tcW w:w="2000" w:type="dxa"/>
            <w:tcBorders>
              <w:top w:val="single" w:sz="1" w:space="0" w:color="999999"/>
              <w:left w:val="single" w:sz="1" w:space="0" w:color="999999"/>
              <w:bottom w:val="single" w:sz="1" w:space="0" w:color="999999"/>
              <w:right w:val="single" w:sz="1" w:space="0" w:color="999999"/>
            </w:tcBorders>
            <w:shd w:val="clear" w:color="auto" w:fill="1F3864"/>
            <w:tcMar>
              <w:top w:w="120" w:type="dxa"/>
              <w:left w:w="150" w:type="dxa"/>
              <w:bottom w:w="120" w:type="dxa"/>
              <w:right w:w="150" w:type="dxa"/>
            </w:tcMar>
            <w:vAlign w:val="center"/>
          </w:tcPr>
          <w:p w14:paraId="429DFFEC" w14:textId="77777777" w:rsidR="00CA2F93" w:rsidRDefault="00000000">
            <w:pPr>
              <w:jc w:val="center"/>
            </w:pPr>
            <w:r>
              <w:rPr>
                <w:b/>
                <w:bCs/>
                <w:color w:val="FFFFFF"/>
              </w:rPr>
              <w:t>Who Acts</w:t>
            </w:r>
          </w:p>
        </w:tc>
        <w:tc>
          <w:tcPr>
            <w:tcW w:w="2360" w:type="dxa"/>
            <w:tcBorders>
              <w:top w:val="single" w:sz="1" w:space="0" w:color="999999"/>
              <w:left w:val="single" w:sz="1" w:space="0" w:color="999999"/>
              <w:bottom w:val="single" w:sz="1" w:space="0" w:color="999999"/>
              <w:right w:val="single" w:sz="1" w:space="0" w:color="999999"/>
            </w:tcBorders>
            <w:shd w:val="clear" w:color="auto" w:fill="1F3864"/>
            <w:tcMar>
              <w:top w:w="120" w:type="dxa"/>
              <w:left w:w="150" w:type="dxa"/>
              <w:bottom w:w="120" w:type="dxa"/>
              <w:right w:w="150" w:type="dxa"/>
            </w:tcMar>
            <w:vAlign w:val="center"/>
          </w:tcPr>
          <w:p w14:paraId="426FEA4F" w14:textId="77777777" w:rsidR="00CA2F93" w:rsidRDefault="00000000">
            <w:pPr>
              <w:jc w:val="center"/>
            </w:pPr>
            <w:r>
              <w:rPr>
                <w:b/>
                <w:bCs/>
                <w:color w:val="FFFFFF"/>
              </w:rPr>
              <w:t>Editable?</w:t>
            </w:r>
          </w:p>
        </w:tc>
        <w:tc>
          <w:tcPr>
            <w:tcW w:w="2400" w:type="dxa"/>
            <w:tcBorders>
              <w:top w:val="single" w:sz="1" w:space="0" w:color="999999"/>
              <w:left w:val="single" w:sz="1" w:space="0" w:color="999999"/>
              <w:bottom w:val="single" w:sz="1" w:space="0" w:color="999999"/>
              <w:right w:val="single" w:sz="1" w:space="0" w:color="999999"/>
            </w:tcBorders>
            <w:shd w:val="clear" w:color="auto" w:fill="1F3864"/>
            <w:tcMar>
              <w:top w:w="120" w:type="dxa"/>
              <w:left w:w="150" w:type="dxa"/>
              <w:bottom w:w="120" w:type="dxa"/>
              <w:right w:w="150" w:type="dxa"/>
            </w:tcMar>
            <w:vAlign w:val="center"/>
          </w:tcPr>
          <w:p w14:paraId="5A7CAFEA" w14:textId="77777777" w:rsidR="00CA2F93" w:rsidRDefault="00000000">
            <w:pPr>
              <w:jc w:val="center"/>
            </w:pPr>
            <w:r>
              <w:rPr>
                <w:b/>
                <w:bCs/>
                <w:color w:val="FFFFFF"/>
              </w:rPr>
              <w:t>Next State</w:t>
            </w:r>
          </w:p>
        </w:tc>
      </w:tr>
      <w:tr w:rsidR="00CA2F93" w14:paraId="6A607327" w14:textId="77777777">
        <w:tc>
          <w:tcPr>
            <w:tcW w:w="1800" w:type="dxa"/>
            <w:tcBorders>
              <w:top w:val="single" w:sz="1" w:space="0" w:color="999999"/>
              <w:left w:val="single" w:sz="1" w:space="0" w:color="999999"/>
              <w:bottom w:val="single" w:sz="1" w:space="0" w:color="999999"/>
              <w:right w:val="single" w:sz="1" w:space="0" w:color="999999"/>
            </w:tcBorders>
            <w:shd w:val="clear" w:color="auto" w:fill="FFFFFF"/>
            <w:tcMar>
              <w:top w:w="100" w:type="dxa"/>
              <w:left w:w="150" w:type="dxa"/>
              <w:bottom w:w="100" w:type="dxa"/>
              <w:right w:w="150" w:type="dxa"/>
            </w:tcMar>
          </w:tcPr>
          <w:p w14:paraId="44E2230D" w14:textId="77777777" w:rsidR="00CA2F93" w:rsidRDefault="00000000">
            <w:r>
              <w:t>Work</w:t>
            </w:r>
          </w:p>
        </w:tc>
        <w:tc>
          <w:tcPr>
            <w:tcW w:w="800" w:type="dxa"/>
            <w:tcBorders>
              <w:top w:val="single" w:sz="1" w:space="0" w:color="999999"/>
              <w:left w:val="single" w:sz="1" w:space="0" w:color="999999"/>
              <w:bottom w:val="single" w:sz="1" w:space="0" w:color="999999"/>
              <w:right w:val="single" w:sz="1" w:space="0" w:color="999999"/>
            </w:tcBorders>
            <w:shd w:val="clear" w:color="auto" w:fill="FFFFFF"/>
            <w:tcMar>
              <w:top w:w="100" w:type="dxa"/>
              <w:left w:w="150" w:type="dxa"/>
              <w:bottom w:w="100" w:type="dxa"/>
              <w:right w:w="150" w:type="dxa"/>
            </w:tcMar>
          </w:tcPr>
          <w:p w14:paraId="3267915A" w14:textId="77777777" w:rsidR="00CA2F93" w:rsidRDefault="00000000">
            <w:r>
              <w:t>W</w:t>
            </w:r>
          </w:p>
        </w:tc>
        <w:tc>
          <w:tcPr>
            <w:tcW w:w="2000" w:type="dxa"/>
            <w:tcBorders>
              <w:top w:val="single" w:sz="1" w:space="0" w:color="999999"/>
              <w:left w:val="single" w:sz="1" w:space="0" w:color="999999"/>
              <w:bottom w:val="single" w:sz="1" w:space="0" w:color="999999"/>
              <w:right w:val="single" w:sz="1" w:space="0" w:color="999999"/>
            </w:tcBorders>
            <w:shd w:val="clear" w:color="auto" w:fill="FFFFFF"/>
            <w:tcMar>
              <w:top w:w="100" w:type="dxa"/>
              <w:left w:w="150" w:type="dxa"/>
              <w:bottom w:w="100" w:type="dxa"/>
              <w:right w:w="150" w:type="dxa"/>
            </w:tcMar>
          </w:tcPr>
          <w:p w14:paraId="4A3FE530" w14:textId="77777777" w:rsidR="00CA2F93" w:rsidRDefault="00000000">
            <w:r>
              <w:t>Research</w:t>
            </w:r>
          </w:p>
        </w:tc>
        <w:tc>
          <w:tcPr>
            <w:tcW w:w="2360" w:type="dxa"/>
            <w:tcBorders>
              <w:top w:val="single" w:sz="1" w:space="0" w:color="999999"/>
              <w:left w:val="single" w:sz="1" w:space="0" w:color="999999"/>
              <w:bottom w:val="single" w:sz="1" w:space="0" w:color="999999"/>
              <w:right w:val="single" w:sz="1" w:space="0" w:color="999999"/>
            </w:tcBorders>
            <w:shd w:val="clear" w:color="auto" w:fill="FFFFFF"/>
            <w:tcMar>
              <w:top w:w="100" w:type="dxa"/>
              <w:left w:w="150" w:type="dxa"/>
              <w:bottom w:w="100" w:type="dxa"/>
              <w:right w:w="150" w:type="dxa"/>
            </w:tcMar>
          </w:tcPr>
          <w:p w14:paraId="104844D2" w14:textId="77777777" w:rsidR="00CA2F93" w:rsidRDefault="00000000">
            <w:r>
              <w:t>Yes</w:t>
            </w:r>
          </w:p>
        </w:tc>
        <w:tc>
          <w:tcPr>
            <w:tcW w:w="2400" w:type="dxa"/>
            <w:tcBorders>
              <w:top w:val="single" w:sz="1" w:space="0" w:color="999999"/>
              <w:left w:val="single" w:sz="1" w:space="0" w:color="999999"/>
              <w:bottom w:val="single" w:sz="1" w:space="0" w:color="999999"/>
              <w:right w:val="single" w:sz="1" w:space="0" w:color="999999"/>
            </w:tcBorders>
            <w:shd w:val="clear" w:color="auto" w:fill="FFFFFF"/>
            <w:tcMar>
              <w:top w:w="100" w:type="dxa"/>
              <w:left w:w="150" w:type="dxa"/>
              <w:bottom w:w="100" w:type="dxa"/>
              <w:right w:w="150" w:type="dxa"/>
            </w:tcMar>
          </w:tcPr>
          <w:p w14:paraId="3F84F2B9" w14:textId="77777777" w:rsidR="00CA2F93" w:rsidRDefault="00000000">
            <w:r>
              <w:t>T</w:t>
            </w:r>
          </w:p>
        </w:tc>
      </w:tr>
      <w:tr w:rsidR="00CA2F93" w14:paraId="1B810BA9" w14:textId="77777777">
        <w:tc>
          <w:tcPr>
            <w:tcW w:w="1800" w:type="dxa"/>
            <w:tcBorders>
              <w:top w:val="single" w:sz="1" w:space="0" w:color="999999"/>
              <w:left w:val="single" w:sz="1" w:space="0" w:color="999999"/>
              <w:bottom w:val="single" w:sz="1" w:space="0" w:color="999999"/>
              <w:right w:val="single" w:sz="1" w:space="0" w:color="999999"/>
            </w:tcBorders>
            <w:shd w:val="clear" w:color="auto" w:fill="F2F5FB"/>
            <w:tcMar>
              <w:top w:w="100" w:type="dxa"/>
              <w:left w:w="150" w:type="dxa"/>
              <w:bottom w:w="100" w:type="dxa"/>
              <w:right w:w="150" w:type="dxa"/>
            </w:tcMar>
          </w:tcPr>
          <w:p w14:paraId="112E981B" w14:textId="77777777" w:rsidR="00CA2F93" w:rsidRDefault="00000000">
            <w:r>
              <w:lastRenderedPageBreak/>
              <w:t>Testing</w:t>
            </w:r>
          </w:p>
        </w:tc>
        <w:tc>
          <w:tcPr>
            <w:tcW w:w="800" w:type="dxa"/>
            <w:tcBorders>
              <w:top w:val="single" w:sz="1" w:space="0" w:color="999999"/>
              <w:left w:val="single" w:sz="1" w:space="0" w:color="999999"/>
              <w:bottom w:val="single" w:sz="1" w:space="0" w:color="999999"/>
              <w:right w:val="single" w:sz="1" w:space="0" w:color="999999"/>
            </w:tcBorders>
            <w:shd w:val="clear" w:color="auto" w:fill="F2F5FB"/>
            <w:tcMar>
              <w:top w:w="100" w:type="dxa"/>
              <w:left w:w="150" w:type="dxa"/>
              <w:bottom w:w="100" w:type="dxa"/>
              <w:right w:w="150" w:type="dxa"/>
            </w:tcMar>
          </w:tcPr>
          <w:p w14:paraId="438DFDBA" w14:textId="77777777" w:rsidR="00CA2F93" w:rsidRDefault="00000000">
            <w:r>
              <w:t>T</w:t>
            </w:r>
          </w:p>
        </w:tc>
        <w:tc>
          <w:tcPr>
            <w:tcW w:w="2000" w:type="dxa"/>
            <w:tcBorders>
              <w:top w:val="single" w:sz="1" w:space="0" w:color="999999"/>
              <w:left w:val="single" w:sz="1" w:space="0" w:color="999999"/>
              <w:bottom w:val="single" w:sz="1" w:space="0" w:color="999999"/>
              <w:right w:val="single" w:sz="1" w:space="0" w:color="999999"/>
            </w:tcBorders>
            <w:shd w:val="clear" w:color="auto" w:fill="F2F5FB"/>
            <w:tcMar>
              <w:top w:w="100" w:type="dxa"/>
              <w:left w:w="150" w:type="dxa"/>
              <w:bottom w:w="100" w:type="dxa"/>
              <w:right w:w="150" w:type="dxa"/>
            </w:tcMar>
          </w:tcPr>
          <w:p w14:paraId="394BB212" w14:textId="77777777" w:rsidR="00CA2F93" w:rsidRDefault="00000000">
            <w:r>
              <w:t>Research</w:t>
            </w:r>
          </w:p>
        </w:tc>
        <w:tc>
          <w:tcPr>
            <w:tcW w:w="2360" w:type="dxa"/>
            <w:tcBorders>
              <w:top w:val="single" w:sz="1" w:space="0" w:color="999999"/>
              <w:left w:val="single" w:sz="1" w:space="0" w:color="999999"/>
              <w:bottom w:val="single" w:sz="1" w:space="0" w:color="999999"/>
              <w:right w:val="single" w:sz="1" w:space="0" w:color="999999"/>
            </w:tcBorders>
            <w:shd w:val="clear" w:color="auto" w:fill="F2F5FB"/>
            <w:tcMar>
              <w:top w:w="100" w:type="dxa"/>
              <w:left w:w="150" w:type="dxa"/>
              <w:bottom w:w="100" w:type="dxa"/>
              <w:right w:w="150" w:type="dxa"/>
            </w:tcMar>
          </w:tcPr>
          <w:p w14:paraId="27FB2CCA" w14:textId="77777777" w:rsidR="00CA2F93" w:rsidRDefault="00000000">
            <w:pPr>
              <w:spacing w:after="60"/>
            </w:pPr>
            <w:r>
              <w:t>Yes</w:t>
            </w:r>
          </w:p>
          <w:p w14:paraId="69F20976" w14:textId="77777777" w:rsidR="00CA2F93" w:rsidRDefault="00000000">
            <w:pPr>
              <w:spacing w:after="60"/>
            </w:pPr>
            <w:r>
              <w:t>Approved -&gt; R</w:t>
            </w:r>
          </w:p>
          <w:p w14:paraId="0561EA08" w14:textId="77777777" w:rsidR="00CA2F93" w:rsidRDefault="00000000">
            <w:pPr>
              <w:spacing w:after="60"/>
            </w:pPr>
            <w:r>
              <w:t>Rejected -&gt; W</w:t>
            </w:r>
          </w:p>
        </w:tc>
        <w:tc>
          <w:tcPr>
            <w:tcW w:w="2400" w:type="dxa"/>
            <w:tcBorders>
              <w:top w:val="single" w:sz="1" w:space="0" w:color="999999"/>
              <w:left w:val="single" w:sz="1" w:space="0" w:color="999999"/>
              <w:bottom w:val="single" w:sz="1" w:space="0" w:color="999999"/>
              <w:right w:val="single" w:sz="1" w:space="0" w:color="999999"/>
            </w:tcBorders>
            <w:shd w:val="clear" w:color="auto" w:fill="F2F5FB"/>
            <w:tcMar>
              <w:top w:w="100" w:type="dxa"/>
              <w:left w:w="150" w:type="dxa"/>
              <w:bottom w:w="100" w:type="dxa"/>
              <w:right w:w="150" w:type="dxa"/>
            </w:tcMar>
          </w:tcPr>
          <w:p w14:paraId="185BF98B" w14:textId="77777777" w:rsidR="00CA2F93" w:rsidRDefault="00000000">
            <w:r>
              <w:t>R or W</w:t>
            </w:r>
          </w:p>
        </w:tc>
      </w:tr>
      <w:tr w:rsidR="00CA2F93" w14:paraId="3F163543" w14:textId="77777777">
        <w:tc>
          <w:tcPr>
            <w:tcW w:w="1800" w:type="dxa"/>
            <w:tcBorders>
              <w:top w:val="single" w:sz="1" w:space="0" w:color="999999"/>
              <w:left w:val="single" w:sz="1" w:space="0" w:color="999999"/>
              <w:bottom w:val="single" w:sz="1" w:space="0" w:color="999999"/>
              <w:right w:val="single" w:sz="1" w:space="0" w:color="999999"/>
            </w:tcBorders>
            <w:shd w:val="clear" w:color="auto" w:fill="FFFFFF"/>
            <w:tcMar>
              <w:top w:w="100" w:type="dxa"/>
              <w:left w:w="150" w:type="dxa"/>
              <w:bottom w:w="100" w:type="dxa"/>
              <w:right w:w="150" w:type="dxa"/>
            </w:tcMar>
          </w:tcPr>
          <w:p w14:paraId="40A914C8" w14:textId="77777777" w:rsidR="00CA2F93" w:rsidRDefault="00000000">
            <w:r>
              <w:t>Ready</w:t>
            </w:r>
          </w:p>
        </w:tc>
        <w:tc>
          <w:tcPr>
            <w:tcW w:w="800" w:type="dxa"/>
            <w:tcBorders>
              <w:top w:val="single" w:sz="1" w:space="0" w:color="999999"/>
              <w:left w:val="single" w:sz="1" w:space="0" w:color="999999"/>
              <w:bottom w:val="single" w:sz="1" w:space="0" w:color="999999"/>
              <w:right w:val="single" w:sz="1" w:space="0" w:color="999999"/>
            </w:tcBorders>
            <w:shd w:val="clear" w:color="auto" w:fill="FFFFFF"/>
            <w:tcMar>
              <w:top w:w="100" w:type="dxa"/>
              <w:left w:w="150" w:type="dxa"/>
              <w:bottom w:w="100" w:type="dxa"/>
              <w:right w:w="150" w:type="dxa"/>
            </w:tcMar>
          </w:tcPr>
          <w:p w14:paraId="318F13F3" w14:textId="77777777" w:rsidR="00CA2F93" w:rsidRDefault="00000000">
            <w:r>
              <w:t>R</w:t>
            </w:r>
          </w:p>
        </w:tc>
        <w:tc>
          <w:tcPr>
            <w:tcW w:w="2000" w:type="dxa"/>
            <w:tcBorders>
              <w:top w:val="single" w:sz="1" w:space="0" w:color="999999"/>
              <w:left w:val="single" w:sz="1" w:space="0" w:color="999999"/>
              <w:bottom w:val="single" w:sz="1" w:space="0" w:color="999999"/>
              <w:right w:val="single" w:sz="1" w:space="0" w:color="999999"/>
            </w:tcBorders>
            <w:shd w:val="clear" w:color="auto" w:fill="FFFFFF"/>
            <w:tcMar>
              <w:top w:w="100" w:type="dxa"/>
              <w:left w:w="150" w:type="dxa"/>
              <w:bottom w:w="100" w:type="dxa"/>
              <w:right w:w="150" w:type="dxa"/>
            </w:tcMar>
          </w:tcPr>
          <w:p w14:paraId="58FD1C34" w14:textId="77777777" w:rsidR="00CA2F93" w:rsidRDefault="00000000">
            <w:r>
              <w:t>System / Publication</w:t>
            </w:r>
          </w:p>
        </w:tc>
        <w:tc>
          <w:tcPr>
            <w:tcW w:w="2360" w:type="dxa"/>
            <w:tcBorders>
              <w:top w:val="single" w:sz="1" w:space="0" w:color="999999"/>
              <w:left w:val="single" w:sz="1" w:space="0" w:color="999999"/>
              <w:bottom w:val="single" w:sz="1" w:space="0" w:color="999999"/>
              <w:right w:val="single" w:sz="1" w:space="0" w:color="999999"/>
            </w:tcBorders>
            <w:shd w:val="clear" w:color="auto" w:fill="FFFFFF"/>
            <w:tcMar>
              <w:top w:w="100" w:type="dxa"/>
              <w:left w:w="150" w:type="dxa"/>
              <w:bottom w:w="100" w:type="dxa"/>
              <w:right w:w="150" w:type="dxa"/>
            </w:tcMar>
          </w:tcPr>
          <w:p w14:paraId="012FE94F" w14:textId="77777777" w:rsidR="00CA2F93" w:rsidRDefault="00000000">
            <w:pPr>
              <w:spacing w:after="60"/>
            </w:pPr>
            <w:r>
              <w:t>Gen 1: Editable until Research approves at system level.</w:t>
            </w:r>
          </w:p>
          <w:p w14:paraId="26163D30" w14:textId="77777777" w:rsidR="00CA2F93" w:rsidRDefault="00000000">
            <w:pPr>
              <w:spacing w:after="60"/>
            </w:pPr>
            <w:r>
              <w:t>Gen 2: Locked immediately on approval.</w:t>
            </w:r>
          </w:p>
        </w:tc>
        <w:tc>
          <w:tcPr>
            <w:tcW w:w="2400" w:type="dxa"/>
            <w:tcBorders>
              <w:top w:val="single" w:sz="1" w:space="0" w:color="999999"/>
              <w:left w:val="single" w:sz="1" w:space="0" w:color="999999"/>
              <w:bottom w:val="single" w:sz="1" w:space="0" w:color="999999"/>
              <w:right w:val="single" w:sz="1" w:space="0" w:color="999999"/>
            </w:tcBorders>
            <w:shd w:val="clear" w:color="auto" w:fill="FFFFFF"/>
            <w:tcMar>
              <w:top w:w="100" w:type="dxa"/>
              <w:left w:w="150" w:type="dxa"/>
              <w:bottom w:w="100" w:type="dxa"/>
              <w:right w:w="150" w:type="dxa"/>
            </w:tcMar>
          </w:tcPr>
          <w:p w14:paraId="3E362AD6" w14:textId="77777777" w:rsidR="00CA2F93" w:rsidRDefault="00000000">
            <w:r>
              <w:t>Q</w:t>
            </w:r>
          </w:p>
        </w:tc>
      </w:tr>
      <w:tr w:rsidR="00CA2F93" w14:paraId="680B5A2C" w14:textId="77777777">
        <w:tc>
          <w:tcPr>
            <w:tcW w:w="1800" w:type="dxa"/>
            <w:tcBorders>
              <w:top w:val="single" w:sz="1" w:space="0" w:color="999999"/>
              <w:left w:val="single" w:sz="1" w:space="0" w:color="999999"/>
              <w:bottom w:val="single" w:sz="1" w:space="0" w:color="999999"/>
              <w:right w:val="single" w:sz="1" w:space="0" w:color="999999"/>
            </w:tcBorders>
            <w:shd w:val="clear" w:color="auto" w:fill="F2F5FB"/>
            <w:tcMar>
              <w:top w:w="100" w:type="dxa"/>
              <w:left w:w="150" w:type="dxa"/>
              <w:bottom w:w="100" w:type="dxa"/>
              <w:right w:w="150" w:type="dxa"/>
            </w:tcMar>
          </w:tcPr>
          <w:p w14:paraId="52062182" w14:textId="77777777" w:rsidR="00CA2F93" w:rsidRDefault="00000000">
            <w:r>
              <w:t>Quit</w:t>
            </w:r>
          </w:p>
        </w:tc>
        <w:tc>
          <w:tcPr>
            <w:tcW w:w="800" w:type="dxa"/>
            <w:tcBorders>
              <w:top w:val="single" w:sz="1" w:space="0" w:color="999999"/>
              <w:left w:val="single" w:sz="1" w:space="0" w:color="999999"/>
              <w:bottom w:val="single" w:sz="1" w:space="0" w:color="999999"/>
              <w:right w:val="single" w:sz="1" w:space="0" w:color="999999"/>
            </w:tcBorders>
            <w:shd w:val="clear" w:color="auto" w:fill="F2F5FB"/>
            <w:tcMar>
              <w:top w:w="100" w:type="dxa"/>
              <w:left w:w="150" w:type="dxa"/>
              <w:bottom w:w="100" w:type="dxa"/>
              <w:right w:w="150" w:type="dxa"/>
            </w:tcMar>
          </w:tcPr>
          <w:p w14:paraId="50404DB8" w14:textId="77777777" w:rsidR="00CA2F93" w:rsidRDefault="00000000">
            <w:r>
              <w:t>Q</w:t>
            </w:r>
          </w:p>
        </w:tc>
        <w:tc>
          <w:tcPr>
            <w:tcW w:w="2000" w:type="dxa"/>
            <w:tcBorders>
              <w:top w:val="single" w:sz="1" w:space="0" w:color="999999"/>
              <w:left w:val="single" w:sz="1" w:space="0" w:color="999999"/>
              <w:bottom w:val="single" w:sz="1" w:space="0" w:color="999999"/>
              <w:right w:val="single" w:sz="1" w:space="0" w:color="999999"/>
            </w:tcBorders>
            <w:shd w:val="clear" w:color="auto" w:fill="F2F5FB"/>
            <w:tcMar>
              <w:top w:w="100" w:type="dxa"/>
              <w:left w:w="150" w:type="dxa"/>
              <w:bottom w:w="100" w:type="dxa"/>
              <w:right w:w="150" w:type="dxa"/>
            </w:tcMar>
          </w:tcPr>
          <w:p w14:paraId="4DF26F59" w14:textId="77777777" w:rsidR="00CA2F93" w:rsidRDefault="00000000">
            <w:r>
              <w:t>System</w:t>
            </w:r>
          </w:p>
        </w:tc>
        <w:tc>
          <w:tcPr>
            <w:tcW w:w="2360" w:type="dxa"/>
            <w:tcBorders>
              <w:top w:val="single" w:sz="1" w:space="0" w:color="999999"/>
              <w:left w:val="single" w:sz="1" w:space="0" w:color="999999"/>
              <w:bottom w:val="single" w:sz="1" w:space="0" w:color="999999"/>
              <w:right w:val="single" w:sz="1" w:space="0" w:color="999999"/>
            </w:tcBorders>
            <w:shd w:val="clear" w:color="auto" w:fill="F2F5FB"/>
            <w:tcMar>
              <w:top w:w="100" w:type="dxa"/>
              <w:left w:w="150" w:type="dxa"/>
              <w:bottom w:w="100" w:type="dxa"/>
              <w:right w:w="150" w:type="dxa"/>
            </w:tcMar>
          </w:tcPr>
          <w:p w14:paraId="68A68B90" w14:textId="77777777" w:rsidR="00CA2F93" w:rsidRDefault="00000000">
            <w:r>
              <w:t>No</w:t>
            </w:r>
          </w:p>
        </w:tc>
        <w:tc>
          <w:tcPr>
            <w:tcW w:w="2400" w:type="dxa"/>
            <w:tcBorders>
              <w:top w:val="single" w:sz="1" w:space="0" w:color="999999"/>
              <w:left w:val="single" w:sz="1" w:space="0" w:color="999999"/>
              <w:bottom w:val="single" w:sz="1" w:space="0" w:color="999999"/>
              <w:right w:val="single" w:sz="1" w:space="0" w:color="999999"/>
            </w:tcBorders>
            <w:shd w:val="clear" w:color="auto" w:fill="F2F5FB"/>
            <w:tcMar>
              <w:top w:w="100" w:type="dxa"/>
              <w:left w:w="150" w:type="dxa"/>
              <w:bottom w:w="100" w:type="dxa"/>
              <w:right w:w="150" w:type="dxa"/>
            </w:tcMar>
          </w:tcPr>
          <w:p w14:paraId="5844F22C" w14:textId="77777777" w:rsidR="00CA2F93" w:rsidRDefault="00000000">
            <w:r>
              <w:t>W (after pull)</w:t>
            </w:r>
          </w:p>
        </w:tc>
      </w:tr>
    </w:tbl>
    <w:p w14:paraId="168F422C" w14:textId="77777777" w:rsidR="00CA2F93" w:rsidRDefault="00CA2F93">
      <w:pPr>
        <w:spacing w:after="360"/>
      </w:pPr>
    </w:p>
    <w:p w14:paraId="10EA52F3" w14:textId="77777777" w:rsidR="00CA2F93" w:rsidRDefault="00000000">
      <w:pPr>
        <w:spacing w:before="280" w:after="160"/>
      </w:pPr>
      <w:r>
        <w:rPr>
          <w:b/>
          <w:bCs/>
          <w:color w:val="1F3864"/>
          <w:sz w:val="28"/>
          <w:szCs w:val="28"/>
        </w:rPr>
        <w:t>Gen 1 vs Gen 2  |  Detailed Comparison</w:t>
      </w:r>
    </w:p>
    <w:p w14:paraId="087CFA44" w14:textId="77777777" w:rsidR="00CA2F93" w:rsidRDefault="00000000">
      <w:pPr>
        <w:spacing w:after="160"/>
      </w:pPr>
      <w:r>
        <w:t>The status lifecycle and edit-lock rules are consistent across both generations. The key differences are in how the edit lock is applied, how dependencies are modeled, and how data is packaged and scoped for each release.</w:t>
      </w:r>
    </w:p>
    <w:p w14:paraId="3D99A8D8" w14:textId="77777777" w:rsidR="00CA2F93" w:rsidRDefault="00CA2F93">
      <w:pPr>
        <w:spacing w:after="1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3280"/>
        <w:gridCol w:w="3280"/>
      </w:tblGrid>
      <w:tr w:rsidR="00CA2F93" w14:paraId="5408CC92" w14:textId="77777777">
        <w:trPr>
          <w:tblHeader/>
        </w:trPr>
        <w:tc>
          <w:tcPr>
            <w:tcW w:w="2800" w:type="dxa"/>
            <w:tcBorders>
              <w:top w:val="single" w:sz="1" w:space="0" w:color="999999"/>
              <w:left w:val="single" w:sz="1" w:space="0" w:color="999999"/>
              <w:bottom w:val="single" w:sz="1" w:space="0" w:color="999999"/>
              <w:right w:val="single" w:sz="1" w:space="0" w:color="999999"/>
            </w:tcBorders>
            <w:shd w:val="clear" w:color="auto" w:fill="1F3864"/>
            <w:tcMar>
              <w:top w:w="120" w:type="dxa"/>
              <w:left w:w="150" w:type="dxa"/>
              <w:bottom w:w="120" w:type="dxa"/>
              <w:right w:w="150" w:type="dxa"/>
            </w:tcMar>
            <w:vAlign w:val="center"/>
          </w:tcPr>
          <w:p w14:paraId="4AEF2B67" w14:textId="77777777" w:rsidR="00CA2F93" w:rsidRDefault="00000000">
            <w:pPr>
              <w:jc w:val="center"/>
            </w:pPr>
            <w:r>
              <w:rPr>
                <w:b/>
                <w:bCs/>
                <w:color w:val="FFFFFF"/>
              </w:rPr>
              <w:t>Process Area</w:t>
            </w:r>
          </w:p>
        </w:tc>
        <w:tc>
          <w:tcPr>
            <w:tcW w:w="3280" w:type="dxa"/>
            <w:tcBorders>
              <w:top w:val="single" w:sz="1" w:space="0" w:color="999999"/>
              <w:left w:val="single" w:sz="1" w:space="0" w:color="999999"/>
              <w:bottom w:val="single" w:sz="1" w:space="0" w:color="999999"/>
              <w:right w:val="single" w:sz="1" w:space="0" w:color="999999"/>
            </w:tcBorders>
            <w:shd w:val="clear" w:color="auto" w:fill="1F3864"/>
            <w:tcMar>
              <w:top w:w="120" w:type="dxa"/>
              <w:left w:w="150" w:type="dxa"/>
              <w:bottom w:w="120" w:type="dxa"/>
              <w:right w:w="150" w:type="dxa"/>
            </w:tcMar>
            <w:vAlign w:val="center"/>
          </w:tcPr>
          <w:p w14:paraId="5460EC74" w14:textId="77777777" w:rsidR="00CA2F93" w:rsidRDefault="00000000">
            <w:pPr>
              <w:jc w:val="center"/>
            </w:pPr>
            <w:r>
              <w:rPr>
                <w:b/>
                <w:bCs/>
                <w:color w:val="FFFFFF"/>
              </w:rPr>
              <w:t>Gen 1 (Current)</w:t>
            </w:r>
          </w:p>
        </w:tc>
        <w:tc>
          <w:tcPr>
            <w:tcW w:w="3280" w:type="dxa"/>
            <w:tcBorders>
              <w:top w:val="single" w:sz="1" w:space="0" w:color="999999"/>
              <w:left w:val="single" w:sz="1" w:space="0" w:color="999999"/>
              <w:bottom w:val="single" w:sz="1" w:space="0" w:color="999999"/>
              <w:right w:val="single" w:sz="1" w:space="0" w:color="999999"/>
            </w:tcBorders>
            <w:shd w:val="clear" w:color="auto" w:fill="1F3864"/>
            <w:tcMar>
              <w:top w:w="120" w:type="dxa"/>
              <w:left w:w="150" w:type="dxa"/>
              <w:bottom w:w="120" w:type="dxa"/>
              <w:right w:w="150" w:type="dxa"/>
            </w:tcMar>
            <w:vAlign w:val="center"/>
          </w:tcPr>
          <w:p w14:paraId="255BF668" w14:textId="77777777" w:rsidR="00CA2F93" w:rsidRDefault="00000000">
            <w:pPr>
              <w:jc w:val="center"/>
            </w:pPr>
            <w:r>
              <w:rPr>
                <w:b/>
                <w:bCs/>
                <w:color w:val="FFFFFF"/>
              </w:rPr>
              <w:t>Gen 2 (Planned)</w:t>
            </w:r>
          </w:p>
        </w:tc>
      </w:tr>
      <w:tr w:rsidR="00CA2F93" w14:paraId="54D63F36" w14:textId="77777777">
        <w:tc>
          <w:tcPr>
            <w:tcW w:w="2800" w:type="dxa"/>
            <w:tcBorders>
              <w:top w:val="single" w:sz="1" w:space="0" w:color="999999"/>
              <w:left w:val="single" w:sz="1" w:space="0" w:color="999999"/>
              <w:bottom w:val="single" w:sz="1" w:space="0" w:color="999999"/>
              <w:right w:val="single" w:sz="1" w:space="0" w:color="999999"/>
            </w:tcBorders>
            <w:shd w:val="clear" w:color="auto" w:fill="EAF1FB"/>
            <w:tcMar>
              <w:top w:w="100" w:type="dxa"/>
              <w:left w:w="150" w:type="dxa"/>
              <w:bottom w:w="100" w:type="dxa"/>
              <w:right w:w="150" w:type="dxa"/>
            </w:tcMar>
            <w:vAlign w:val="center"/>
          </w:tcPr>
          <w:p w14:paraId="709CE03E" w14:textId="77777777" w:rsidR="00CA2F93" w:rsidRDefault="00000000">
            <w:r>
              <w:rPr>
                <w:b/>
                <w:bCs/>
              </w:rPr>
              <w:t>Publication Trigger</w:t>
            </w:r>
          </w:p>
        </w:tc>
        <w:tc>
          <w:tcPr>
            <w:tcW w:w="3280" w:type="dxa"/>
            <w:tcBorders>
              <w:top w:val="single" w:sz="1" w:space="0" w:color="999999"/>
              <w:left w:val="single" w:sz="1" w:space="0" w:color="999999"/>
              <w:bottom w:val="single" w:sz="1" w:space="0" w:color="999999"/>
              <w:right w:val="single" w:sz="1" w:space="0" w:color="999999"/>
            </w:tcBorders>
            <w:shd w:val="clear" w:color="auto" w:fill="FFFFFF"/>
            <w:tcMar>
              <w:top w:w="100" w:type="dxa"/>
              <w:left w:w="150" w:type="dxa"/>
              <w:bottom w:w="100" w:type="dxa"/>
              <w:right w:w="150" w:type="dxa"/>
            </w:tcMar>
          </w:tcPr>
          <w:p w14:paraId="4D53973E" w14:textId="70A50DB9" w:rsidR="00CA2F93" w:rsidRDefault="00000000">
            <w:r>
              <w:t>Research approves all content areas for a set of countries via a system-level action in the CDR Dashboard.</w:t>
            </w:r>
          </w:p>
        </w:tc>
        <w:tc>
          <w:tcPr>
            <w:tcW w:w="3280" w:type="dxa"/>
            <w:tcBorders>
              <w:top w:val="single" w:sz="1" w:space="0" w:color="999999"/>
              <w:left w:val="single" w:sz="1" w:space="0" w:color="999999"/>
              <w:bottom w:val="single" w:sz="1" w:space="0" w:color="999999"/>
              <w:right w:val="single" w:sz="1" w:space="0" w:color="999999"/>
            </w:tcBorders>
            <w:shd w:val="clear" w:color="auto" w:fill="FFFFFF"/>
            <w:tcMar>
              <w:top w:w="100" w:type="dxa"/>
              <w:left w:w="150" w:type="dxa"/>
              <w:bottom w:w="100" w:type="dxa"/>
              <w:right w:w="150" w:type="dxa"/>
            </w:tcMar>
          </w:tcPr>
          <w:p w14:paraId="1ADE14F2" w14:textId="77777777" w:rsidR="00CA2F93" w:rsidRDefault="00000000">
            <w:r>
              <w:t>Individual content areas and their dependencies are approved and released independently. The W -&gt; T -&gt; R -&gt; Q lifecycle is unchanged.</w:t>
            </w:r>
          </w:p>
        </w:tc>
      </w:tr>
      <w:tr w:rsidR="00CA2F93" w14:paraId="65AAEF28" w14:textId="77777777">
        <w:tc>
          <w:tcPr>
            <w:tcW w:w="2800" w:type="dxa"/>
            <w:tcBorders>
              <w:top w:val="single" w:sz="1" w:space="0" w:color="999999"/>
              <w:left w:val="single" w:sz="1" w:space="0" w:color="999999"/>
              <w:bottom w:val="single" w:sz="1" w:space="0" w:color="999999"/>
              <w:right w:val="single" w:sz="1" w:space="0" w:color="999999"/>
            </w:tcBorders>
            <w:shd w:val="clear" w:color="auto" w:fill="D9E2F3"/>
            <w:tcMar>
              <w:top w:w="100" w:type="dxa"/>
              <w:left w:w="150" w:type="dxa"/>
              <w:bottom w:w="100" w:type="dxa"/>
              <w:right w:w="150" w:type="dxa"/>
            </w:tcMar>
            <w:vAlign w:val="center"/>
          </w:tcPr>
          <w:p w14:paraId="3A43D668" w14:textId="77777777" w:rsidR="00CA2F93" w:rsidRDefault="00000000">
            <w:r>
              <w:rPr>
                <w:b/>
                <w:bCs/>
              </w:rPr>
              <w:t>Status Lifecycle</w:t>
            </w:r>
          </w:p>
        </w:tc>
        <w:tc>
          <w:tcPr>
            <w:tcW w:w="3280" w:type="dxa"/>
            <w:tcBorders>
              <w:top w:val="single" w:sz="1" w:space="0" w:color="999999"/>
              <w:left w:val="single" w:sz="1" w:space="0" w:color="999999"/>
              <w:bottom w:val="single" w:sz="1" w:space="0" w:color="999999"/>
              <w:right w:val="single" w:sz="1" w:space="0" w:color="999999"/>
            </w:tcBorders>
            <w:shd w:val="clear" w:color="auto" w:fill="F2F5FB"/>
            <w:tcMar>
              <w:top w:w="100" w:type="dxa"/>
              <w:left w:w="150" w:type="dxa"/>
              <w:bottom w:w="100" w:type="dxa"/>
              <w:right w:w="150" w:type="dxa"/>
            </w:tcMar>
          </w:tcPr>
          <w:p w14:paraId="57851AD0" w14:textId="77777777" w:rsidR="00CA2F93" w:rsidRDefault="00000000">
            <w:r>
              <w:t>W -&gt; T -&gt; R -&gt; Q. Research can push content back through W -&gt; T -&gt; R as many times as needed before submitting system-level approval.</w:t>
            </w:r>
          </w:p>
        </w:tc>
        <w:tc>
          <w:tcPr>
            <w:tcW w:w="3280" w:type="dxa"/>
            <w:tcBorders>
              <w:top w:val="single" w:sz="1" w:space="0" w:color="999999"/>
              <w:left w:val="single" w:sz="1" w:space="0" w:color="999999"/>
              <w:bottom w:val="single" w:sz="1" w:space="0" w:color="999999"/>
              <w:right w:val="single" w:sz="1" w:space="0" w:color="999999"/>
            </w:tcBorders>
            <w:shd w:val="clear" w:color="auto" w:fill="F2F5FB"/>
            <w:tcMar>
              <w:top w:w="100" w:type="dxa"/>
              <w:left w:w="150" w:type="dxa"/>
              <w:bottom w:w="100" w:type="dxa"/>
              <w:right w:w="150" w:type="dxa"/>
            </w:tcMar>
          </w:tcPr>
          <w:p w14:paraId="28627EE5" w14:textId="77777777" w:rsidR="00CA2F93" w:rsidRDefault="00000000">
            <w:r>
              <w:t>Identical lifecycle. No changes to status values or the rules governing when Research can edit.</w:t>
            </w:r>
          </w:p>
        </w:tc>
      </w:tr>
      <w:tr w:rsidR="00CA2F93" w14:paraId="27284602" w14:textId="77777777">
        <w:tc>
          <w:tcPr>
            <w:tcW w:w="2800" w:type="dxa"/>
            <w:tcBorders>
              <w:top w:val="single" w:sz="1" w:space="0" w:color="999999"/>
              <w:left w:val="single" w:sz="1" w:space="0" w:color="999999"/>
              <w:bottom w:val="single" w:sz="1" w:space="0" w:color="999999"/>
              <w:right w:val="single" w:sz="1" w:space="0" w:color="999999"/>
            </w:tcBorders>
            <w:shd w:val="clear" w:color="auto" w:fill="EAF1FB"/>
            <w:tcMar>
              <w:top w:w="100" w:type="dxa"/>
              <w:left w:w="150" w:type="dxa"/>
              <w:bottom w:w="100" w:type="dxa"/>
              <w:right w:w="150" w:type="dxa"/>
            </w:tcMar>
            <w:vAlign w:val="center"/>
          </w:tcPr>
          <w:p w14:paraId="69A5B4CF" w14:textId="77777777" w:rsidR="00CA2F93" w:rsidRDefault="00000000">
            <w:r>
              <w:rPr>
                <w:b/>
                <w:bCs/>
              </w:rPr>
              <w:t>Edit Lock</w:t>
            </w:r>
          </w:p>
        </w:tc>
        <w:tc>
          <w:tcPr>
            <w:tcW w:w="3280" w:type="dxa"/>
            <w:tcBorders>
              <w:top w:val="single" w:sz="1" w:space="0" w:color="999999"/>
              <w:left w:val="single" w:sz="1" w:space="0" w:color="999999"/>
              <w:bottom w:val="single" w:sz="1" w:space="0" w:color="999999"/>
              <w:right w:val="single" w:sz="1" w:space="0" w:color="999999"/>
            </w:tcBorders>
            <w:shd w:val="clear" w:color="auto" w:fill="FFFFFF"/>
            <w:tcMar>
              <w:top w:w="100" w:type="dxa"/>
              <w:left w:w="150" w:type="dxa"/>
              <w:bottom w:w="100" w:type="dxa"/>
              <w:right w:w="150" w:type="dxa"/>
            </w:tcMar>
          </w:tcPr>
          <w:p w14:paraId="15165CE4" w14:textId="77777777" w:rsidR="00CA2F93" w:rsidRDefault="00000000">
            <w:r>
              <w:t xml:space="preserve">Content and dependencies are locked once system-level approval is submitted. The lock </w:t>
            </w:r>
            <w:r>
              <w:lastRenderedPageBreak/>
              <w:t>holds until the data pull is complete and validated.</w:t>
            </w:r>
          </w:p>
        </w:tc>
        <w:tc>
          <w:tcPr>
            <w:tcW w:w="3280" w:type="dxa"/>
            <w:tcBorders>
              <w:top w:val="single" w:sz="1" w:space="0" w:color="999999"/>
              <w:left w:val="single" w:sz="1" w:space="0" w:color="999999"/>
              <w:bottom w:val="single" w:sz="1" w:space="0" w:color="999999"/>
              <w:right w:val="single" w:sz="1" w:space="0" w:color="999999"/>
            </w:tcBorders>
            <w:shd w:val="clear" w:color="auto" w:fill="FFFFFF"/>
            <w:tcMar>
              <w:top w:w="100" w:type="dxa"/>
              <w:left w:w="150" w:type="dxa"/>
              <w:bottom w:w="100" w:type="dxa"/>
              <w:right w:w="150" w:type="dxa"/>
            </w:tcMar>
          </w:tcPr>
          <w:p w14:paraId="15F65BB1" w14:textId="77777777" w:rsidR="00CA2F93" w:rsidRDefault="00000000">
            <w:r>
              <w:lastRenderedPageBreak/>
              <w:t xml:space="preserve">Each atomic unit of content (one content area plus its dependency tree) is locked at the point of </w:t>
            </w:r>
            <w:r>
              <w:lastRenderedPageBreak/>
              <w:t>approval. The lock releases when rows are pulled and validated; status returns to Q.</w:t>
            </w:r>
          </w:p>
        </w:tc>
      </w:tr>
      <w:tr w:rsidR="00CA2F93" w14:paraId="7CA0A982" w14:textId="77777777">
        <w:tc>
          <w:tcPr>
            <w:tcW w:w="2800" w:type="dxa"/>
            <w:tcBorders>
              <w:top w:val="single" w:sz="1" w:space="0" w:color="999999"/>
              <w:left w:val="single" w:sz="1" w:space="0" w:color="999999"/>
              <w:bottom w:val="single" w:sz="1" w:space="0" w:color="999999"/>
              <w:right w:val="single" w:sz="1" w:space="0" w:color="999999"/>
            </w:tcBorders>
            <w:shd w:val="clear" w:color="auto" w:fill="D9E2F3"/>
            <w:tcMar>
              <w:top w:w="100" w:type="dxa"/>
              <w:left w:w="150" w:type="dxa"/>
              <w:bottom w:w="100" w:type="dxa"/>
              <w:right w:w="150" w:type="dxa"/>
            </w:tcMar>
            <w:vAlign w:val="center"/>
          </w:tcPr>
          <w:p w14:paraId="4F1270C0" w14:textId="77777777" w:rsidR="00CA2F93" w:rsidRDefault="00000000">
            <w:r>
              <w:rPr>
                <w:b/>
                <w:bCs/>
              </w:rPr>
              <w:lastRenderedPageBreak/>
              <w:t>Status Scope</w:t>
            </w:r>
          </w:p>
        </w:tc>
        <w:tc>
          <w:tcPr>
            <w:tcW w:w="3280" w:type="dxa"/>
            <w:tcBorders>
              <w:top w:val="single" w:sz="1" w:space="0" w:color="999999"/>
              <w:left w:val="single" w:sz="1" w:space="0" w:color="999999"/>
              <w:bottom w:val="single" w:sz="1" w:space="0" w:color="999999"/>
              <w:right w:val="single" w:sz="1" w:space="0" w:color="999999"/>
            </w:tcBorders>
            <w:shd w:val="clear" w:color="auto" w:fill="F2F5FB"/>
            <w:tcMar>
              <w:top w:w="100" w:type="dxa"/>
              <w:left w:w="150" w:type="dxa"/>
              <w:bottom w:w="100" w:type="dxa"/>
              <w:right w:w="150" w:type="dxa"/>
            </w:tcMar>
          </w:tcPr>
          <w:p w14:paraId="117C4E2B" w14:textId="77777777" w:rsidR="00CA2F93" w:rsidRDefault="00000000">
            <w:r>
              <w:t>Status is assigned at the content area level, scoped to a specific country. A parent row status applies to all associated child records.</w:t>
            </w:r>
          </w:p>
        </w:tc>
        <w:tc>
          <w:tcPr>
            <w:tcW w:w="3280" w:type="dxa"/>
            <w:tcBorders>
              <w:top w:val="single" w:sz="1" w:space="0" w:color="999999"/>
              <w:left w:val="single" w:sz="1" w:space="0" w:color="999999"/>
              <w:bottom w:val="single" w:sz="1" w:space="0" w:color="999999"/>
              <w:right w:val="single" w:sz="1" w:space="0" w:color="999999"/>
            </w:tcBorders>
            <w:shd w:val="clear" w:color="auto" w:fill="F2F5FB"/>
            <w:tcMar>
              <w:top w:w="100" w:type="dxa"/>
              <w:left w:w="150" w:type="dxa"/>
              <w:bottom w:w="100" w:type="dxa"/>
              <w:right w:w="150" w:type="dxa"/>
            </w:tcMar>
          </w:tcPr>
          <w:p w14:paraId="68CF87FB" w14:textId="77777777" w:rsidR="00CA2F93" w:rsidRDefault="00000000">
            <w:r>
              <w:t>Same parent/child scoping model. No change.</w:t>
            </w:r>
          </w:p>
        </w:tc>
      </w:tr>
      <w:tr w:rsidR="00CA2F93" w14:paraId="5AD0A4F2" w14:textId="77777777">
        <w:tc>
          <w:tcPr>
            <w:tcW w:w="2800" w:type="dxa"/>
            <w:tcBorders>
              <w:top w:val="single" w:sz="1" w:space="0" w:color="999999"/>
              <w:left w:val="single" w:sz="1" w:space="0" w:color="999999"/>
              <w:bottom w:val="single" w:sz="1" w:space="0" w:color="999999"/>
              <w:right w:val="single" w:sz="1" w:space="0" w:color="999999"/>
            </w:tcBorders>
            <w:shd w:val="clear" w:color="auto" w:fill="EAF1FB"/>
            <w:tcMar>
              <w:top w:w="100" w:type="dxa"/>
              <w:left w:w="150" w:type="dxa"/>
              <w:bottom w:w="100" w:type="dxa"/>
              <w:right w:w="150" w:type="dxa"/>
            </w:tcMar>
            <w:vAlign w:val="center"/>
          </w:tcPr>
          <w:p w14:paraId="3A93CDB3" w14:textId="77777777" w:rsidR="00CA2F93" w:rsidRDefault="00000000">
            <w:r>
              <w:rPr>
                <w:b/>
                <w:bCs/>
              </w:rPr>
              <w:t>Dependency Handling</w:t>
            </w:r>
          </w:p>
        </w:tc>
        <w:tc>
          <w:tcPr>
            <w:tcW w:w="3280" w:type="dxa"/>
            <w:tcBorders>
              <w:top w:val="single" w:sz="1" w:space="0" w:color="999999"/>
              <w:left w:val="single" w:sz="1" w:space="0" w:color="999999"/>
              <w:bottom w:val="single" w:sz="1" w:space="0" w:color="999999"/>
              <w:right w:val="single" w:sz="1" w:space="0" w:color="999999"/>
            </w:tcBorders>
            <w:shd w:val="clear" w:color="auto" w:fill="FFFFFF"/>
            <w:tcMar>
              <w:top w:w="100" w:type="dxa"/>
              <w:left w:w="150" w:type="dxa"/>
              <w:bottom w:w="100" w:type="dxa"/>
              <w:right w:w="150" w:type="dxa"/>
            </w:tcMar>
          </w:tcPr>
          <w:p w14:paraId="53470E0A" w14:textId="77777777" w:rsidR="00CA2F93" w:rsidRDefault="00000000">
            <w:r>
              <w:t>All data for a country is pulled together. Dependencies are verified during pre-validation before system-level approval is submitted.</w:t>
            </w:r>
          </w:p>
        </w:tc>
        <w:tc>
          <w:tcPr>
            <w:tcW w:w="3280" w:type="dxa"/>
            <w:tcBorders>
              <w:top w:val="single" w:sz="1" w:space="0" w:color="999999"/>
              <w:left w:val="single" w:sz="1" w:space="0" w:color="999999"/>
              <w:bottom w:val="single" w:sz="1" w:space="0" w:color="999999"/>
              <w:right w:val="single" w:sz="1" w:space="0" w:color="999999"/>
            </w:tcBorders>
            <w:shd w:val="clear" w:color="auto" w:fill="FFFFFF"/>
            <w:tcMar>
              <w:top w:w="100" w:type="dxa"/>
              <w:left w:w="150" w:type="dxa"/>
              <w:bottom w:w="100" w:type="dxa"/>
              <w:right w:w="150" w:type="dxa"/>
            </w:tcMar>
          </w:tcPr>
          <w:p w14:paraId="67F27072" w14:textId="77777777" w:rsidR="00CA2F93" w:rsidRDefault="00000000">
            <w:r>
              <w:t>Dependencies are modeled explicitly as a data tree (or forest of trees). Each tree defines exactly which records belong together and must be released as a unit.</w:t>
            </w:r>
          </w:p>
        </w:tc>
      </w:tr>
      <w:tr w:rsidR="00CA2F93" w14:paraId="4D1969CF" w14:textId="77777777">
        <w:tc>
          <w:tcPr>
            <w:tcW w:w="2800" w:type="dxa"/>
            <w:tcBorders>
              <w:top w:val="single" w:sz="1" w:space="0" w:color="999999"/>
              <w:left w:val="single" w:sz="1" w:space="0" w:color="999999"/>
              <w:bottom w:val="single" w:sz="1" w:space="0" w:color="999999"/>
              <w:right w:val="single" w:sz="1" w:space="0" w:color="999999"/>
            </w:tcBorders>
            <w:shd w:val="clear" w:color="auto" w:fill="D9E2F3"/>
            <w:tcMar>
              <w:top w:w="100" w:type="dxa"/>
              <w:left w:w="150" w:type="dxa"/>
              <w:bottom w:w="100" w:type="dxa"/>
              <w:right w:w="150" w:type="dxa"/>
            </w:tcMar>
            <w:vAlign w:val="center"/>
          </w:tcPr>
          <w:p w14:paraId="1154C876" w14:textId="77777777" w:rsidR="00CA2F93" w:rsidRDefault="00000000">
            <w:r>
              <w:rPr>
                <w:b/>
                <w:bCs/>
              </w:rPr>
              <w:t>Data Pull Scope</w:t>
            </w:r>
          </w:p>
        </w:tc>
        <w:tc>
          <w:tcPr>
            <w:tcW w:w="3280" w:type="dxa"/>
            <w:tcBorders>
              <w:top w:val="single" w:sz="1" w:space="0" w:color="999999"/>
              <w:left w:val="single" w:sz="1" w:space="0" w:color="999999"/>
              <w:bottom w:val="single" w:sz="1" w:space="0" w:color="999999"/>
              <w:right w:val="single" w:sz="1" w:space="0" w:color="999999"/>
            </w:tcBorders>
            <w:shd w:val="clear" w:color="auto" w:fill="F2F5FB"/>
            <w:tcMar>
              <w:top w:w="100" w:type="dxa"/>
              <w:left w:w="150" w:type="dxa"/>
              <w:bottom w:w="100" w:type="dxa"/>
              <w:right w:w="150" w:type="dxa"/>
            </w:tcMar>
          </w:tcPr>
          <w:p w14:paraId="7C9B0399" w14:textId="77777777" w:rsidR="00CA2F93" w:rsidRDefault="00000000">
            <w:r>
              <w:t>Pulls the entire database for a given country in one operation, regardless of which content areas have changed.</w:t>
            </w:r>
          </w:p>
        </w:tc>
        <w:tc>
          <w:tcPr>
            <w:tcW w:w="3280" w:type="dxa"/>
            <w:tcBorders>
              <w:top w:val="single" w:sz="1" w:space="0" w:color="999999"/>
              <w:left w:val="single" w:sz="1" w:space="0" w:color="999999"/>
              <w:bottom w:val="single" w:sz="1" w:space="0" w:color="999999"/>
              <w:right w:val="single" w:sz="1" w:space="0" w:color="999999"/>
            </w:tcBorders>
            <w:shd w:val="clear" w:color="auto" w:fill="F2F5FB"/>
            <w:tcMar>
              <w:top w:w="100" w:type="dxa"/>
              <w:left w:w="150" w:type="dxa"/>
              <w:bottom w:w="100" w:type="dxa"/>
              <w:right w:w="150" w:type="dxa"/>
            </w:tcMar>
          </w:tcPr>
          <w:p w14:paraId="61E5EF47" w14:textId="77777777" w:rsidR="00CA2F93" w:rsidRDefault="00000000">
            <w:r>
              <w:t>Pulls only the approved content area and its specific dependency tree -- a targeted, minimal data set.</w:t>
            </w:r>
          </w:p>
        </w:tc>
      </w:tr>
      <w:tr w:rsidR="00CA2F93" w14:paraId="09CAFCF1" w14:textId="77777777">
        <w:tc>
          <w:tcPr>
            <w:tcW w:w="2800" w:type="dxa"/>
            <w:tcBorders>
              <w:top w:val="single" w:sz="1" w:space="0" w:color="999999"/>
              <w:left w:val="single" w:sz="1" w:space="0" w:color="999999"/>
              <w:bottom w:val="single" w:sz="1" w:space="0" w:color="999999"/>
              <w:right w:val="single" w:sz="1" w:space="0" w:color="999999"/>
            </w:tcBorders>
            <w:shd w:val="clear" w:color="auto" w:fill="EAF1FB"/>
            <w:tcMar>
              <w:top w:w="100" w:type="dxa"/>
              <w:left w:w="150" w:type="dxa"/>
              <w:bottom w:w="100" w:type="dxa"/>
              <w:right w:w="150" w:type="dxa"/>
            </w:tcMar>
            <w:vAlign w:val="center"/>
          </w:tcPr>
          <w:p w14:paraId="62FCFD11" w14:textId="77777777" w:rsidR="00CA2F93" w:rsidRDefault="00000000">
            <w:r>
              <w:rPr>
                <w:b/>
                <w:bCs/>
              </w:rPr>
              <w:t>Release Granularity</w:t>
            </w:r>
          </w:p>
        </w:tc>
        <w:tc>
          <w:tcPr>
            <w:tcW w:w="3280" w:type="dxa"/>
            <w:tcBorders>
              <w:top w:val="single" w:sz="1" w:space="0" w:color="999999"/>
              <w:left w:val="single" w:sz="1" w:space="0" w:color="999999"/>
              <w:bottom w:val="single" w:sz="1" w:space="0" w:color="999999"/>
              <w:right w:val="single" w:sz="1" w:space="0" w:color="999999"/>
            </w:tcBorders>
            <w:shd w:val="clear" w:color="auto" w:fill="FFFFFF"/>
            <w:tcMar>
              <w:top w:w="100" w:type="dxa"/>
              <w:left w:w="150" w:type="dxa"/>
              <w:bottom w:w="100" w:type="dxa"/>
              <w:right w:w="150" w:type="dxa"/>
            </w:tcMar>
          </w:tcPr>
          <w:p w14:paraId="1E857156" w14:textId="77777777" w:rsidR="00CA2F93" w:rsidRDefault="00000000">
            <w:r>
              <w:t>One release per country. All content areas are bundled and released together.</w:t>
            </w:r>
          </w:p>
        </w:tc>
        <w:tc>
          <w:tcPr>
            <w:tcW w:w="3280" w:type="dxa"/>
            <w:tcBorders>
              <w:top w:val="single" w:sz="1" w:space="0" w:color="999999"/>
              <w:left w:val="single" w:sz="1" w:space="0" w:color="999999"/>
              <w:bottom w:val="single" w:sz="1" w:space="0" w:color="999999"/>
              <w:right w:val="single" w:sz="1" w:space="0" w:color="999999"/>
            </w:tcBorders>
            <w:shd w:val="clear" w:color="auto" w:fill="FFFFFF"/>
            <w:tcMar>
              <w:top w:w="100" w:type="dxa"/>
              <w:left w:w="150" w:type="dxa"/>
              <w:bottom w:w="100" w:type="dxa"/>
              <w:right w:w="150" w:type="dxa"/>
            </w:tcMar>
          </w:tcPr>
          <w:p w14:paraId="0059A2E6" w14:textId="77777777" w:rsidR="00CA2F93" w:rsidRDefault="00000000">
            <w:r>
              <w:t>Multiple independent releases are possible. Each content area and its dependencies can be released separately, scoped by content area and country.</w:t>
            </w:r>
          </w:p>
        </w:tc>
      </w:tr>
      <w:tr w:rsidR="00CA2F93" w14:paraId="0E445033" w14:textId="77777777">
        <w:tc>
          <w:tcPr>
            <w:tcW w:w="2800" w:type="dxa"/>
            <w:tcBorders>
              <w:top w:val="single" w:sz="1" w:space="0" w:color="999999"/>
              <w:left w:val="single" w:sz="1" w:space="0" w:color="999999"/>
              <w:bottom w:val="single" w:sz="1" w:space="0" w:color="999999"/>
              <w:right w:val="single" w:sz="1" w:space="0" w:color="999999"/>
            </w:tcBorders>
            <w:shd w:val="clear" w:color="auto" w:fill="D9E2F3"/>
            <w:tcMar>
              <w:top w:w="100" w:type="dxa"/>
              <w:left w:w="150" w:type="dxa"/>
              <w:bottom w:w="100" w:type="dxa"/>
              <w:right w:w="150" w:type="dxa"/>
            </w:tcMar>
            <w:vAlign w:val="center"/>
          </w:tcPr>
          <w:p w14:paraId="4B56638C" w14:textId="77777777" w:rsidR="00CA2F93" w:rsidRDefault="00000000">
            <w:r>
              <w:rPr>
                <w:b/>
                <w:bCs/>
              </w:rPr>
              <w:t>Post-Publication Status Reset</w:t>
            </w:r>
          </w:p>
        </w:tc>
        <w:tc>
          <w:tcPr>
            <w:tcW w:w="3280" w:type="dxa"/>
            <w:tcBorders>
              <w:top w:val="single" w:sz="1" w:space="0" w:color="999999"/>
              <w:left w:val="single" w:sz="1" w:space="0" w:color="999999"/>
              <w:bottom w:val="single" w:sz="1" w:space="0" w:color="999999"/>
              <w:right w:val="single" w:sz="1" w:space="0" w:color="999999"/>
            </w:tcBorders>
            <w:shd w:val="clear" w:color="auto" w:fill="F2F5FB"/>
            <w:tcMar>
              <w:top w:w="100" w:type="dxa"/>
              <w:left w:w="150" w:type="dxa"/>
              <w:bottom w:w="100" w:type="dxa"/>
              <w:right w:w="150" w:type="dxa"/>
            </w:tcMar>
          </w:tcPr>
          <w:p w14:paraId="4C35CA57" w14:textId="77777777" w:rsidR="00CA2F93" w:rsidRDefault="00000000">
            <w:r>
              <w:t>After a successful pull and validation, status moves from R to Q in the Global_Research / GLOBAL_PHARMACY schema. This unlocks the content for Research to resume editing.</w:t>
            </w:r>
          </w:p>
        </w:tc>
        <w:tc>
          <w:tcPr>
            <w:tcW w:w="3280" w:type="dxa"/>
            <w:tcBorders>
              <w:top w:val="single" w:sz="1" w:space="0" w:color="999999"/>
              <w:left w:val="single" w:sz="1" w:space="0" w:color="999999"/>
              <w:bottom w:val="single" w:sz="1" w:space="0" w:color="999999"/>
              <w:right w:val="single" w:sz="1" w:space="0" w:color="999999"/>
            </w:tcBorders>
            <w:shd w:val="clear" w:color="auto" w:fill="F2F5FB"/>
            <w:tcMar>
              <w:top w:w="100" w:type="dxa"/>
              <w:left w:w="150" w:type="dxa"/>
              <w:bottom w:w="100" w:type="dxa"/>
              <w:right w:w="150" w:type="dxa"/>
            </w:tcMar>
          </w:tcPr>
          <w:p w14:paraId="46A04A04" w14:textId="77777777" w:rsidR="00CA2F93" w:rsidRDefault="00000000">
            <w:r>
              <w:t>Same reset behavior. R -&gt; Q on successful pull and validation.</w:t>
            </w:r>
          </w:p>
        </w:tc>
      </w:tr>
      <w:tr w:rsidR="00CA2F93" w14:paraId="5898C8B5" w14:textId="77777777">
        <w:tc>
          <w:tcPr>
            <w:tcW w:w="2800" w:type="dxa"/>
            <w:tcBorders>
              <w:top w:val="single" w:sz="1" w:space="0" w:color="999999"/>
              <w:left w:val="single" w:sz="1" w:space="0" w:color="999999"/>
              <w:bottom w:val="single" w:sz="1" w:space="0" w:color="999999"/>
              <w:right w:val="single" w:sz="1" w:space="0" w:color="999999"/>
            </w:tcBorders>
            <w:shd w:val="clear" w:color="auto" w:fill="EAF1FB"/>
            <w:tcMar>
              <w:top w:w="100" w:type="dxa"/>
              <w:left w:w="150" w:type="dxa"/>
              <w:bottom w:w="100" w:type="dxa"/>
              <w:right w:w="150" w:type="dxa"/>
            </w:tcMar>
            <w:vAlign w:val="center"/>
          </w:tcPr>
          <w:p w14:paraId="6DC578B6" w14:textId="77777777" w:rsidR="00CA2F93" w:rsidRDefault="00000000">
            <w:r>
              <w:rPr>
                <w:b/>
                <w:bCs/>
              </w:rPr>
              <w:t>Schema / Setup Requirements</w:t>
            </w:r>
          </w:p>
        </w:tc>
        <w:tc>
          <w:tcPr>
            <w:tcW w:w="3280" w:type="dxa"/>
            <w:tcBorders>
              <w:top w:val="single" w:sz="1" w:space="0" w:color="999999"/>
              <w:left w:val="single" w:sz="1" w:space="0" w:color="999999"/>
              <w:bottom w:val="single" w:sz="1" w:space="0" w:color="999999"/>
              <w:right w:val="single" w:sz="1" w:space="0" w:color="999999"/>
            </w:tcBorders>
            <w:shd w:val="clear" w:color="auto" w:fill="FFFFFF"/>
            <w:tcMar>
              <w:top w:w="100" w:type="dxa"/>
              <w:left w:w="150" w:type="dxa"/>
              <w:bottom w:w="100" w:type="dxa"/>
              <w:right w:w="150" w:type="dxa"/>
            </w:tcMar>
          </w:tcPr>
          <w:p w14:paraId="4BB4C332" w14:textId="77777777" w:rsidR="00CA2F93" w:rsidRDefault="00000000">
            <w:r>
              <w:t>No data tree definition required. Pull logic operates broadly across the full country dataset.</w:t>
            </w:r>
          </w:p>
        </w:tc>
        <w:tc>
          <w:tcPr>
            <w:tcW w:w="3280" w:type="dxa"/>
            <w:tcBorders>
              <w:top w:val="single" w:sz="1" w:space="0" w:color="999999"/>
              <w:left w:val="single" w:sz="1" w:space="0" w:color="999999"/>
              <w:bottom w:val="single" w:sz="1" w:space="0" w:color="999999"/>
              <w:right w:val="single" w:sz="1" w:space="0" w:color="999999"/>
            </w:tcBorders>
            <w:shd w:val="clear" w:color="auto" w:fill="FFFFFF"/>
            <w:tcMar>
              <w:top w:w="100" w:type="dxa"/>
              <w:left w:w="150" w:type="dxa"/>
              <w:bottom w:w="100" w:type="dxa"/>
              <w:right w:w="150" w:type="dxa"/>
            </w:tcMar>
          </w:tcPr>
          <w:p w14:paraId="70B13059" w14:textId="77777777" w:rsidR="00CA2F93" w:rsidRDefault="00000000">
            <w:r>
              <w:t>Data trees (forest model) must be defined for each content set before Gen 2 pull logic can be implemented.</w:t>
            </w:r>
          </w:p>
        </w:tc>
      </w:tr>
    </w:tbl>
    <w:p w14:paraId="7858A3B0" w14:textId="77777777" w:rsidR="00CA2F93" w:rsidRDefault="00CA2F93">
      <w:pPr>
        <w:spacing w:after="320"/>
      </w:pPr>
    </w:p>
    <w:p w14:paraId="7B8C9244" w14:textId="77777777" w:rsidR="00CA2F93" w:rsidRDefault="00000000">
      <w:pPr>
        <w:spacing w:before="280" w:after="160"/>
      </w:pPr>
      <w:r>
        <w:rPr>
          <w:b/>
          <w:bCs/>
          <w:color w:val="1F3864"/>
          <w:sz w:val="24"/>
          <w:szCs w:val="24"/>
        </w:rPr>
        <w:lastRenderedPageBreak/>
        <w:t>Key Takeaway</w:t>
      </w:r>
    </w:p>
    <w:p w14:paraId="5AD43A4E" w14:textId="77777777" w:rsidR="00CA2F93" w:rsidRDefault="00000000">
      <w:pPr>
        <w:spacing w:after="160"/>
      </w:pPr>
      <w:r>
        <w:t>Gen 1 operates as a single broad pull -- all content for a given country goes out together. Gen 2 introduces targeted, dependency-aware data trees, enabling individual content areas to be approved and released independently. This reduces release risk and allows more frequent, smaller publications.</w:t>
      </w:r>
    </w:p>
    <w:sectPr w:rsidR="00CA2F93">
      <w:headerReference w:type="even" r:id="rId8"/>
      <w:headerReference w:type="default" r:id="rId9"/>
      <w:footerReference w:type="even" r:id="rId10"/>
      <w:footerReference w:type="default" r:id="rId11"/>
      <w:headerReference w:type="first" r:id="rId12"/>
      <w:footerReference w:type="first" r:id="rId13"/>
      <w:pgSz w:w="15840" w:h="12240"/>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CC614" w14:textId="77777777" w:rsidR="00B37AA4" w:rsidRDefault="00B37AA4" w:rsidP="00487E03">
      <w:r>
        <w:separator/>
      </w:r>
    </w:p>
  </w:endnote>
  <w:endnote w:type="continuationSeparator" w:id="0">
    <w:p w14:paraId="66D79557" w14:textId="77777777" w:rsidR="00B37AA4" w:rsidRDefault="00B37AA4" w:rsidP="00487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EE800" w14:textId="3E492737" w:rsidR="00487E03" w:rsidRDefault="00487E03">
    <w:pPr>
      <w:pStyle w:val="Footer"/>
    </w:pPr>
    <w:r>
      <w:rPr>
        <w:noProof/>
      </w:rPr>
      <mc:AlternateContent>
        <mc:Choice Requires="wps">
          <w:drawing>
            <wp:anchor distT="0" distB="0" distL="0" distR="0" simplePos="0" relativeHeight="251662336" behindDoc="0" locked="0" layoutInCell="1" allowOverlap="1" wp14:anchorId="17724046" wp14:editId="093EAF10">
              <wp:simplePos x="635" y="635"/>
              <wp:positionH relativeFrom="page">
                <wp:align>left</wp:align>
              </wp:positionH>
              <wp:positionV relativeFrom="page">
                <wp:align>bottom</wp:align>
              </wp:positionV>
              <wp:extent cx="443865" cy="443865"/>
              <wp:effectExtent l="0" t="0" r="11430" b="0"/>
              <wp:wrapNone/>
              <wp:docPr id="5" name="Text Box 5" descr="Confidential - Oracle Restricted \Employees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A8FF2D0" w14:textId="4F62BF99" w:rsidR="00487E03" w:rsidRPr="00487E03" w:rsidRDefault="00487E03" w:rsidP="00487E03">
                          <w:pPr>
                            <w:rPr>
                              <w:rFonts w:ascii="Calibri" w:eastAsia="Calibri" w:hAnsi="Calibri" w:cs="Calibri"/>
                              <w:noProof/>
                              <w:color w:val="000000"/>
                            </w:rPr>
                          </w:pPr>
                          <w:r w:rsidRPr="00487E03">
                            <w:rPr>
                              <w:rFonts w:ascii="Calibri" w:eastAsia="Calibri" w:hAnsi="Calibri" w:cs="Calibri"/>
                              <w:noProof/>
                              <w:color w:val="000000"/>
                            </w:rPr>
                            <w:t>Confidential - Oracle Restricted \Employees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7724046" id="_x0000_t202" coordsize="21600,21600" o:spt="202" path="m,l,21600r21600,l21600,xe">
              <v:stroke joinstyle="miter"/>
              <v:path gradientshapeok="t" o:connecttype="rect"/>
            </v:shapetype>
            <v:shape id="Text Box 5" o:spid="_x0000_s1028" type="#_x0000_t202" alt="Confidential - Oracle Restricted \Employees Only"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0A8FF2D0" w14:textId="4F62BF99" w:rsidR="00487E03" w:rsidRPr="00487E03" w:rsidRDefault="00487E03" w:rsidP="00487E03">
                    <w:pPr>
                      <w:rPr>
                        <w:rFonts w:ascii="Calibri" w:eastAsia="Calibri" w:hAnsi="Calibri" w:cs="Calibri"/>
                        <w:noProof/>
                        <w:color w:val="000000"/>
                      </w:rPr>
                    </w:pPr>
                    <w:r w:rsidRPr="00487E03">
                      <w:rPr>
                        <w:rFonts w:ascii="Calibri" w:eastAsia="Calibri" w:hAnsi="Calibri" w:cs="Calibri"/>
                        <w:noProof/>
                        <w:color w:val="000000"/>
                      </w:rPr>
                      <w:t>Confidential - Oracle Restricted \Employees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A7EE8" w14:textId="49860F9B" w:rsidR="00487E03" w:rsidRDefault="00487E03">
    <w:pPr>
      <w:pStyle w:val="Footer"/>
    </w:pPr>
    <w:r>
      <w:rPr>
        <w:noProof/>
      </w:rPr>
      <mc:AlternateContent>
        <mc:Choice Requires="wps">
          <w:drawing>
            <wp:anchor distT="0" distB="0" distL="0" distR="0" simplePos="0" relativeHeight="251663360" behindDoc="0" locked="0" layoutInCell="1" allowOverlap="1" wp14:anchorId="37117744" wp14:editId="08271620">
              <wp:simplePos x="685800" y="7181850"/>
              <wp:positionH relativeFrom="page">
                <wp:align>left</wp:align>
              </wp:positionH>
              <wp:positionV relativeFrom="page">
                <wp:align>bottom</wp:align>
              </wp:positionV>
              <wp:extent cx="443865" cy="443865"/>
              <wp:effectExtent l="0" t="0" r="11430" b="0"/>
              <wp:wrapNone/>
              <wp:docPr id="6" name="Text Box 6" descr="Confidential - Oracle Restricted \Employees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3A245C" w14:textId="2D91947F" w:rsidR="00487E03" w:rsidRPr="00487E03" w:rsidRDefault="00487E03" w:rsidP="00487E03">
                          <w:pPr>
                            <w:rPr>
                              <w:rFonts w:ascii="Calibri" w:eastAsia="Calibri" w:hAnsi="Calibri" w:cs="Calibri"/>
                              <w:noProof/>
                              <w:color w:val="000000"/>
                            </w:rPr>
                          </w:pPr>
                          <w:r w:rsidRPr="00487E03">
                            <w:rPr>
                              <w:rFonts w:ascii="Calibri" w:eastAsia="Calibri" w:hAnsi="Calibri" w:cs="Calibri"/>
                              <w:noProof/>
                              <w:color w:val="000000"/>
                            </w:rPr>
                            <w:t>Confidential - Oracle Restricted \Employees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7117744" id="_x0000_t202" coordsize="21600,21600" o:spt="202" path="m,l,21600r21600,l21600,xe">
              <v:stroke joinstyle="miter"/>
              <v:path gradientshapeok="t" o:connecttype="rect"/>
            </v:shapetype>
            <v:shape id="Text Box 6" o:spid="_x0000_s1029" type="#_x0000_t202" alt="Confidential - Oracle Restricted \Employees Only" style="position:absolute;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fill o:detectmouseclick="t"/>
              <v:textbox style="mso-fit-shape-to-text:t" inset="20pt,0,0,15pt">
                <w:txbxContent>
                  <w:p w14:paraId="0C3A245C" w14:textId="2D91947F" w:rsidR="00487E03" w:rsidRPr="00487E03" w:rsidRDefault="00487E03" w:rsidP="00487E03">
                    <w:pPr>
                      <w:rPr>
                        <w:rFonts w:ascii="Calibri" w:eastAsia="Calibri" w:hAnsi="Calibri" w:cs="Calibri"/>
                        <w:noProof/>
                        <w:color w:val="000000"/>
                      </w:rPr>
                    </w:pPr>
                    <w:r w:rsidRPr="00487E03">
                      <w:rPr>
                        <w:rFonts w:ascii="Calibri" w:eastAsia="Calibri" w:hAnsi="Calibri" w:cs="Calibri"/>
                        <w:noProof/>
                        <w:color w:val="000000"/>
                      </w:rPr>
                      <w:t>Confidential - Oracle Restricted \Employees Only</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76644" w14:textId="1025E4CD" w:rsidR="00487E03" w:rsidRDefault="00487E03">
    <w:pPr>
      <w:pStyle w:val="Footer"/>
    </w:pPr>
    <w:r>
      <w:rPr>
        <w:noProof/>
      </w:rPr>
      <mc:AlternateContent>
        <mc:Choice Requires="wps">
          <w:drawing>
            <wp:anchor distT="0" distB="0" distL="0" distR="0" simplePos="0" relativeHeight="251661312" behindDoc="0" locked="0" layoutInCell="1" allowOverlap="1" wp14:anchorId="18C7523C" wp14:editId="32490402">
              <wp:simplePos x="635" y="635"/>
              <wp:positionH relativeFrom="page">
                <wp:align>left</wp:align>
              </wp:positionH>
              <wp:positionV relativeFrom="page">
                <wp:align>bottom</wp:align>
              </wp:positionV>
              <wp:extent cx="443865" cy="443865"/>
              <wp:effectExtent l="0" t="0" r="11430" b="0"/>
              <wp:wrapNone/>
              <wp:docPr id="4" name="Text Box 4" descr="Confidential - Oracle Restricted \Employees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A0CC4D2" w14:textId="16E78F1F" w:rsidR="00487E03" w:rsidRPr="00487E03" w:rsidRDefault="00487E03" w:rsidP="00487E03">
                          <w:pPr>
                            <w:rPr>
                              <w:rFonts w:ascii="Calibri" w:eastAsia="Calibri" w:hAnsi="Calibri" w:cs="Calibri"/>
                              <w:noProof/>
                              <w:color w:val="000000"/>
                            </w:rPr>
                          </w:pPr>
                          <w:r w:rsidRPr="00487E03">
                            <w:rPr>
                              <w:rFonts w:ascii="Calibri" w:eastAsia="Calibri" w:hAnsi="Calibri" w:cs="Calibri"/>
                              <w:noProof/>
                              <w:color w:val="000000"/>
                            </w:rPr>
                            <w:t>Confidential - Oracle Restricted \Employees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8C7523C" id="_x0000_t202" coordsize="21600,21600" o:spt="202" path="m,l,21600r21600,l21600,xe">
              <v:stroke joinstyle="miter"/>
              <v:path gradientshapeok="t" o:connecttype="rect"/>
            </v:shapetype>
            <v:shape id="Text Box 4" o:spid="_x0000_s1031" type="#_x0000_t202" alt="Confidential - Oracle Restricted \Employees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3A0CC4D2" w14:textId="16E78F1F" w:rsidR="00487E03" w:rsidRPr="00487E03" w:rsidRDefault="00487E03" w:rsidP="00487E03">
                    <w:pPr>
                      <w:rPr>
                        <w:rFonts w:ascii="Calibri" w:eastAsia="Calibri" w:hAnsi="Calibri" w:cs="Calibri"/>
                        <w:noProof/>
                        <w:color w:val="000000"/>
                      </w:rPr>
                    </w:pPr>
                    <w:r w:rsidRPr="00487E03">
                      <w:rPr>
                        <w:rFonts w:ascii="Calibri" w:eastAsia="Calibri" w:hAnsi="Calibri" w:cs="Calibri"/>
                        <w:noProof/>
                        <w:color w:val="000000"/>
                      </w:rPr>
                      <w:t>Confidential - Oracle Restricted \Employees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032E0" w14:textId="77777777" w:rsidR="00B37AA4" w:rsidRDefault="00B37AA4" w:rsidP="00487E03">
      <w:r>
        <w:separator/>
      </w:r>
    </w:p>
  </w:footnote>
  <w:footnote w:type="continuationSeparator" w:id="0">
    <w:p w14:paraId="685B6885" w14:textId="77777777" w:rsidR="00B37AA4" w:rsidRDefault="00B37AA4" w:rsidP="00487E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2D890" w14:textId="55708FBB" w:rsidR="00487E03" w:rsidRDefault="00487E03">
    <w:pPr>
      <w:pStyle w:val="Header"/>
    </w:pPr>
    <w:r>
      <w:rPr>
        <w:noProof/>
      </w:rPr>
      <mc:AlternateContent>
        <mc:Choice Requires="wps">
          <w:drawing>
            <wp:anchor distT="0" distB="0" distL="0" distR="0" simplePos="0" relativeHeight="251659264" behindDoc="0" locked="0" layoutInCell="1" allowOverlap="1" wp14:anchorId="5A46E581" wp14:editId="60864881">
              <wp:simplePos x="635" y="635"/>
              <wp:positionH relativeFrom="page">
                <wp:align>left</wp:align>
              </wp:positionH>
              <wp:positionV relativeFrom="page">
                <wp:align>top</wp:align>
              </wp:positionV>
              <wp:extent cx="443865" cy="443865"/>
              <wp:effectExtent l="0" t="0" r="11430" b="16510"/>
              <wp:wrapNone/>
              <wp:docPr id="2" name="Text Box 2" descr="Confidential - Oracle Restricted \Employees Only">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7F25C3C" w14:textId="17C93E78" w:rsidR="00487E03" w:rsidRPr="00487E03" w:rsidRDefault="00487E03" w:rsidP="00487E03">
                          <w:pPr>
                            <w:rPr>
                              <w:rFonts w:ascii="Calibri" w:eastAsia="Calibri" w:hAnsi="Calibri" w:cs="Calibri"/>
                              <w:noProof/>
                              <w:color w:val="000000"/>
                            </w:rPr>
                          </w:pPr>
                          <w:r w:rsidRPr="00487E03">
                            <w:rPr>
                              <w:rFonts w:ascii="Calibri" w:eastAsia="Calibri" w:hAnsi="Calibri" w:cs="Calibri"/>
                              <w:noProof/>
                              <w:color w:val="000000"/>
                            </w:rPr>
                            <w:t>Confidential - Oracle Restricted \Employees Only</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A46E581" id="_x0000_t202" coordsize="21600,21600" o:spt="202" path="m,l,21600r21600,l21600,xe">
              <v:stroke joinstyle="miter"/>
              <v:path gradientshapeok="t" o:connecttype="rect"/>
            </v:shapetype>
            <v:shape id="Text Box 2" o:spid="_x0000_s1026" type="#_x0000_t202" alt="Confidential - Oracle Restricted \Employees Only"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fill o:detectmouseclick="t"/>
              <v:textbox style="mso-fit-shape-to-text:t" inset="20pt,15pt,0,0">
                <w:txbxContent>
                  <w:p w14:paraId="27F25C3C" w14:textId="17C93E78" w:rsidR="00487E03" w:rsidRPr="00487E03" w:rsidRDefault="00487E03" w:rsidP="00487E03">
                    <w:pPr>
                      <w:rPr>
                        <w:rFonts w:ascii="Calibri" w:eastAsia="Calibri" w:hAnsi="Calibri" w:cs="Calibri"/>
                        <w:noProof/>
                        <w:color w:val="000000"/>
                      </w:rPr>
                    </w:pPr>
                    <w:r w:rsidRPr="00487E03">
                      <w:rPr>
                        <w:rFonts w:ascii="Calibri" w:eastAsia="Calibri" w:hAnsi="Calibri" w:cs="Calibri"/>
                        <w:noProof/>
                        <w:color w:val="000000"/>
                      </w:rPr>
                      <w:t>Confidential - Oracle Restricted \Employees Only</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51DEB" w14:textId="6450E5E2" w:rsidR="00487E03" w:rsidRDefault="00487E03">
    <w:pPr>
      <w:pStyle w:val="Header"/>
    </w:pPr>
    <w:r>
      <w:rPr>
        <w:noProof/>
      </w:rPr>
      <mc:AlternateContent>
        <mc:Choice Requires="wps">
          <w:drawing>
            <wp:anchor distT="0" distB="0" distL="0" distR="0" simplePos="0" relativeHeight="251660288" behindDoc="0" locked="0" layoutInCell="1" allowOverlap="1" wp14:anchorId="0E900677" wp14:editId="235197C1">
              <wp:simplePos x="685800" y="447675"/>
              <wp:positionH relativeFrom="page">
                <wp:align>left</wp:align>
              </wp:positionH>
              <wp:positionV relativeFrom="page">
                <wp:align>top</wp:align>
              </wp:positionV>
              <wp:extent cx="443865" cy="443865"/>
              <wp:effectExtent l="0" t="0" r="11430" b="16510"/>
              <wp:wrapNone/>
              <wp:docPr id="3" name="Text Box 3" descr="Confidential - Oracle Restricted \Employees Only">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B0F8032" w14:textId="4CB5E9D6" w:rsidR="00487E03" w:rsidRPr="00487E03" w:rsidRDefault="00487E03" w:rsidP="00487E03">
                          <w:pPr>
                            <w:rPr>
                              <w:rFonts w:ascii="Calibri" w:eastAsia="Calibri" w:hAnsi="Calibri" w:cs="Calibri"/>
                              <w:noProof/>
                              <w:color w:val="000000"/>
                            </w:rPr>
                          </w:pPr>
                          <w:r w:rsidRPr="00487E03">
                            <w:rPr>
                              <w:rFonts w:ascii="Calibri" w:eastAsia="Calibri" w:hAnsi="Calibri" w:cs="Calibri"/>
                              <w:noProof/>
                              <w:color w:val="000000"/>
                            </w:rPr>
                            <w:t>Confidential - Oracle Restricted \Employees Only</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E900677" id="_x0000_t202" coordsize="21600,21600" o:spt="202" path="m,l,21600r21600,l21600,xe">
              <v:stroke joinstyle="miter"/>
              <v:path gradientshapeok="t" o:connecttype="rect"/>
            </v:shapetype>
            <v:shape id="Text Box 3" o:spid="_x0000_s1027" type="#_x0000_t202" alt="Confidential - Oracle Restricted \Employees Only"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fill o:detectmouseclick="t"/>
              <v:textbox style="mso-fit-shape-to-text:t" inset="20pt,15pt,0,0">
                <w:txbxContent>
                  <w:p w14:paraId="6B0F8032" w14:textId="4CB5E9D6" w:rsidR="00487E03" w:rsidRPr="00487E03" w:rsidRDefault="00487E03" w:rsidP="00487E03">
                    <w:pPr>
                      <w:rPr>
                        <w:rFonts w:ascii="Calibri" w:eastAsia="Calibri" w:hAnsi="Calibri" w:cs="Calibri"/>
                        <w:noProof/>
                        <w:color w:val="000000"/>
                      </w:rPr>
                    </w:pPr>
                    <w:r w:rsidRPr="00487E03">
                      <w:rPr>
                        <w:rFonts w:ascii="Calibri" w:eastAsia="Calibri" w:hAnsi="Calibri" w:cs="Calibri"/>
                        <w:noProof/>
                        <w:color w:val="000000"/>
                      </w:rPr>
                      <w:t>Confidential - Oracle Restricted \Employees Only</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7B412" w14:textId="56FC5B45" w:rsidR="00487E03" w:rsidRDefault="00487E03">
    <w:pPr>
      <w:pStyle w:val="Header"/>
    </w:pPr>
    <w:r>
      <w:rPr>
        <w:noProof/>
      </w:rPr>
      <mc:AlternateContent>
        <mc:Choice Requires="wps">
          <w:drawing>
            <wp:anchor distT="0" distB="0" distL="0" distR="0" simplePos="0" relativeHeight="251658240" behindDoc="0" locked="0" layoutInCell="1" allowOverlap="1" wp14:anchorId="2A464261" wp14:editId="401C0991">
              <wp:simplePos x="635" y="635"/>
              <wp:positionH relativeFrom="page">
                <wp:align>left</wp:align>
              </wp:positionH>
              <wp:positionV relativeFrom="page">
                <wp:align>top</wp:align>
              </wp:positionV>
              <wp:extent cx="443865" cy="443865"/>
              <wp:effectExtent l="0" t="0" r="11430" b="16510"/>
              <wp:wrapNone/>
              <wp:docPr id="1" name="Text Box 1" descr="Confidential - Oracle Restricted \Employees Only">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48811D4" w14:textId="73209647" w:rsidR="00487E03" w:rsidRPr="00487E03" w:rsidRDefault="00487E03" w:rsidP="00487E03">
                          <w:pPr>
                            <w:rPr>
                              <w:rFonts w:ascii="Calibri" w:eastAsia="Calibri" w:hAnsi="Calibri" w:cs="Calibri"/>
                              <w:noProof/>
                              <w:color w:val="000000"/>
                            </w:rPr>
                          </w:pPr>
                          <w:r w:rsidRPr="00487E03">
                            <w:rPr>
                              <w:rFonts w:ascii="Calibri" w:eastAsia="Calibri" w:hAnsi="Calibri" w:cs="Calibri"/>
                              <w:noProof/>
                              <w:color w:val="000000"/>
                            </w:rPr>
                            <w:t>Confidential - Oracle Restricted \Employees Only</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A464261" id="_x0000_t202" coordsize="21600,21600" o:spt="202" path="m,l,21600r21600,l21600,xe">
              <v:stroke joinstyle="miter"/>
              <v:path gradientshapeok="t" o:connecttype="rect"/>
            </v:shapetype>
            <v:shape id="Text Box 1" o:spid="_x0000_s1030" type="#_x0000_t202" alt="Confidential - Oracle Restricted \Employees Only"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fill o:detectmouseclick="t"/>
              <v:textbox style="mso-fit-shape-to-text:t" inset="20pt,15pt,0,0">
                <w:txbxContent>
                  <w:p w14:paraId="048811D4" w14:textId="73209647" w:rsidR="00487E03" w:rsidRPr="00487E03" w:rsidRDefault="00487E03" w:rsidP="00487E03">
                    <w:pPr>
                      <w:rPr>
                        <w:rFonts w:ascii="Calibri" w:eastAsia="Calibri" w:hAnsi="Calibri" w:cs="Calibri"/>
                        <w:noProof/>
                        <w:color w:val="000000"/>
                      </w:rPr>
                    </w:pPr>
                    <w:r w:rsidRPr="00487E03">
                      <w:rPr>
                        <w:rFonts w:ascii="Calibri" w:eastAsia="Calibri" w:hAnsi="Calibri" w:cs="Calibri"/>
                        <w:noProof/>
                        <w:color w:val="000000"/>
                      </w:rPr>
                      <w:t>Confidential - Oracle Restricted \Employees Only</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670ABB"/>
    <w:multiLevelType w:val="hybridMultilevel"/>
    <w:tmpl w:val="D436A206"/>
    <w:lvl w:ilvl="0" w:tplc="2D00A25C">
      <w:start w:val="1"/>
      <w:numFmt w:val="bullet"/>
      <w:lvlText w:val="●"/>
      <w:lvlJc w:val="left"/>
      <w:pPr>
        <w:ind w:left="720" w:hanging="360"/>
      </w:pPr>
    </w:lvl>
    <w:lvl w:ilvl="1" w:tplc="178A79DE">
      <w:start w:val="1"/>
      <w:numFmt w:val="bullet"/>
      <w:lvlText w:val="○"/>
      <w:lvlJc w:val="left"/>
      <w:pPr>
        <w:ind w:left="1440" w:hanging="360"/>
      </w:pPr>
    </w:lvl>
    <w:lvl w:ilvl="2" w:tplc="9D3ECC54">
      <w:start w:val="1"/>
      <w:numFmt w:val="bullet"/>
      <w:lvlText w:val="■"/>
      <w:lvlJc w:val="left"/>
      <w:pPr>
        <w:ind w:left="2160" w:hanging="360"/>
      </w:pPr>
    </w:lvl>
    <w:lvl w:ilvl="3" w:tplc="668C80B4">
      <w:start w:val="1"/>
      <w:numFmt w:val="bullet"/>
      <w:lvlText w:val="●"/>
      <w:lvlJc w:val="left"/>
      <w:pPr>
        <w:ind w:left="2880" w:hanging="360"/>
      </w:pPr>
    </w:lvl>
    <w:lvl w:ilvl="4" w:tplc="DADCE72A">
      <w:start w:val="1"/>
      <w:numFmt w:val="bullet"/>
      <w:lvlText w:val="○"/>
      <w:lvlJc w:val="left"/>
      <w:pPr>
        <w:ind w:left="3600" w:hanging="360"/>
      </w:pPr>
    </w:lvl>
    <w:lvl w:ilvl="5" w:tplc="BEA698B4">
      <w:start w:val="1"/>
      <w:numFmt w:val="bullet"/>
      <w:lvlText w:val="■"/>
      <w:lvlJc w:val="left"/>
      <w:pPr>
        <w:ind w:left="4320" w:hanging="360"/>
      </w:pPr>
    </w:lvl>
    <w:lvl w:ilvl="6" w:tplc="AD2CF0B6">
      <w:start w:val="1"/>
      <w:numFmt w:val="bullet"/>
      <w:lvlText w:val="●"/>
      <w:lvlJc w:val="left"/>
      <w:pPr>
        <w:ind w:left="5040" w:hanging="360"/>
      </w:pPr>
    </w:lvl>
    <w:lvl w:ilvl="7" w:tplc="403A60F8">
      <w:start w:val="1"/>
      <w:numFmt w:val="bullet"/>
      <w:lvlText w:val="●"/>
      <w:lvlJc w:val="left"/>
      <w:pPr>
        <w:ind w:left="5760" w:hanging="360"/>
      </w:pPr>
    </w:lvl>
    <w:lvl w:ilvl="8" w:tplc="9CBE8A80">
      <w:start w:val="1"/>
      <w:numFmt w:val="bullet"/>
      <w:lvlText w:val="●"/>
      <w:lvlJc w:val="left"/>
      <w:pPr>
        <w:ind w:left="6480" w:hanging="360"/>
      </w:pPr>
    </w:lvl>
  </w:abstractNum>
  <w:num w:numId="1" w16cid:durableId="91412406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F93"/>
    <w:rsid w:val="00487E03"/>
    <w:rsid w:val="008166B6"/>
    <w:rsid w:val="00856D35"/>
    <w:rsid w:val="009338BC"/>
    <w:rsid w:val="00B37AA4"/>
    <w:rsid w:val="00CA2F93"/>
    <w:rsid w:val="00F241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BA5C6"/>
  <w15:docId w15:val="{43BF3F31-C497-4947-852D-4C3424160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487E03"/>
    <w:pPr>
      <w:tabs>
        <w:tab w:val="center" w:pos="4680"/>
        <w:tab w:val="right" w:pos="9360"/>
      </w:tabs>
    </w:pPr>
  </w:style>
  <w:style w:type="character" w:customStyle="1" w:styleId="HeaderChar">
    <w:name w:val="Header Char"/>
    <w:basedOn w:val="DefaultParagraphFont"/>
    <w:link w:val="Header"/>
    <w:uiPriority w:val="99"/>
    <w:rsid w:val="00487E03"/>
  </w:style>
  <w:style w:type="paragraph" w:styleId="Footer">
    <w:name w:val="footer"/>
    <w:basedOn w:val="Normal"/>
    <w:link w:val="FooterChar"/>
    <w:uiPriority w:val="99"/>
    <w:unhideWhenUsed/>
    <w:rsid w:val="00487E03"/>
    <w:pPr>
      <w:tabs>
        <w:tab w:val="center" w:pos="4680"/>
        <w:tab w:val="right" w:pos="9360"/>
      </w:tabs>
    </w:pPr>
  </w:style>
  <w:style w:type="character" w:customStyle="1" w:styleId="FooterChar">
    <w:name w:val="Footer Char"/>
    <w:basedOn w:val="DefaultParagraphFont"/>
    <w:link w:val="Footer"/>
    <w:uiPriority w:val="99"/>
    <w:rsid w:val="00487E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25c952f-1947-4719-99e7-7bc5a76060a8}" enabled="1" method="Standard" siteId="{4e2c6054-71cb-48f1-bd6c-3a9705aca71b}" contentBits="3" removed="0"/>
</clbl:labelList>
</file>

<file path=docProps/app.xml><?xml version="1.0" encoding="utf-8"?>
<Properties xmlns="http://schemas.openxmlformats.org/officeDocument/2006/extended-properties" xmlns:vt="http://schemas.openxmlformats.org/officeDocument/2006/docPropsVTypes">
  <Template>Normal.dotm</Template>
  <TotalTime>6</TotalTime>
  <Pages>5</Pages>
  <Words>1046</Words>
  <Characters>5967</Characters>
  <Application>Microsoft Office Word</Application>
  <DocSecurity>0</DocSecurity>
  <Lines>49</Lines>
  <Paragraphs>13</Paragraphs>
  <ScaleCrop>false</ScaleCrop>
  <Company>Oracle</Company>
  <LinksUpToDate>false</LinksUpToDate>
  <CharactersWithSpaces>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Michael Dombaugh</cp:lastModifiedBy>
  <cp:revision>5</cp:revision>
  <dcterms:created xsi:type="dcterms:W3CDTF">2026-03-05T21:54:00Z</dcterms:created>
  <dcterms:modified xsi:type="dcterms:W3CDTF">2026-03-05T22:25:00Z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#000000,10,Calibri</vt:lpwstr>
  </property>
  <property fmtid="{D5CDD505-2E9C-101B-9397-08002B2CF9AE}" pid="4" name="ClassificationContentMarkingHeaderText">
    <vt:lpwstr>Confidential - Oracle Restricted \Employees Only</vt:lpwstr>
  </property>
  <property fmtid="{D5CDD505-2E9C-101B-9397-08002B2CF9AE}" pid="5" name="ClassificationContentMarkingFooterShapeIds">
    <vt:lpwstr>4,5,6</vt:lpwstr>
  </property>
  <property fmtid="{D5CDD505-2E9C-101B-9397-08002B2CF9AE}" pid="6" name="ClassificationContentMarkingFooterFontProps">
    <vt:lpwstr>#000000,10,Calibri</vt:lpwstr>
  </property>
  <property fmtid="{D5CDD505-2E9C-101B-9397-08002B2CF9AE}" pid="7" name="ClassificationContentMarkingFooterText">
    <vt:lpwstr>Confidential - Oracle Restricted \Employees Only</vt:lpwstr>
  </property>
</Properties>
</file>