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1440" w:after="120"/>
      </w:pPr>
      <w:r>
        <w:rPr>
          <w:rFonts w:ascii="Arial" w:cs="Arial" w:eastAsia="Arial" w:hAnsi="Arial"/>
          <w:color w:val="666666"/>
          <w:sz w:val="20"/>
          <w:szCs w:val="20"/>
        </w:rPr>
        <w:t xml:space="preserve">Oracle Health &amp; AI  |  Multum Clinical Data</w:t>
      </w:r>
    </w:p>
    <w:p>
      <w:pPr>
        <w:pBdr>
          <w:bottom w:val="single" w:color="2E75B6" w:sz="12" w:space="4"/>
        </w:pBdr>
        <w:spacing w:before="0" w:after="200"/>
      </w:pPr>
      <w:r>
        <w:rPr>
          <w:rFonts w:ascii="Arial" w:cs="Arial" w:eastAsia="Arial" w:hAnsi="Arial"/>
          <w:b/>
          <w:bCs/>
          <w:color w:val="1F4E79"/>
          <w:sz w:val="52"/>
          <w:szCs w:val="52"/>
        </w:rPr>
        <w:t xml:space="preserve">SKG RDF Generation Pipeline</w:t>
      </w:r>
    </w:p>
    <w:p>
      <w:pPr>
        <w:spacing w:before="200" w:after="80"/>
      </w:pPr>
      <w:r>
        <w:rPr>
          <w:rFonts w:ascii="Arial" w:cs="Arial" w:eastAsia="Arial" w:hAnsi="Arial"/>
          <w:b/>
          <w:bCs/>
          <w:color w:val="2E75B6"/>
          <w:sz w:val="32"/>
          <w:szCs w:val="32"/>
        </w:rPr>
        <w:t xml:space="preserve">Developer Onboarding Guide</w:t>
      </w:r>
    </w:p>
    <w:p>
      <w:pPr>
        <w:spacing w:before="80" w:after="2000"/>
      </w:pPr>
      <w:r>
        <w:rPr>
          <w:rFonts w:ascii="Arial" w:cs="Arial" w:eastAsia="Arial" w:hAnsi="Arial"/>
          <w:color w:val="888888"/>
          <w:sz w:val="20"/>
          <w:szCs w:val="20"/>
        </w:rPr>
        <w:t xml:space="preserve">Version 1.0  |  March 2026  |  M. Dombaugh</w:t>
      </w:r>
    </w:p>
    <w:p>
      <w:pPr>
        <w:spacing w:before="0" w:after="0"/>
      </w:pPr>
      <w:r>
        <w:t xml:space="preserve"/>
      </w:r>
    </w:p>
    <w:p>
      <w:r>
        <w:br w:type="page"/>
      </w:r>
    </w:p>
    <w:p>
      <w:pPr>
        <w:pStyle w:val="Heading1"/>
        <w:pBdr>
          <w:bottom w:val="single" w:color="2E75B6" w:sz="8" w:space="4"/>
        </w:pBdr>
        <w:spacing w:before="320" w:after="160"/>
      </w:pPr>
      <w:r>
        <w:rPr>
          <w:rFonts w:ascii="Arial" w:cs="Arial" w:eastAsia="Arial" w:hAnsi="Arial"/>
          <w:b/>
          <w:bCs/>
          <w:color w:val="1F4E79"/>
          <w:sz w:val="32"/>
          <w:szCs w:val="32"/>
        </w:rPr>
        <w:t xml:space="preserve">1.  Purpose and Scope</w:t>
      </w:r>
    </w:p>
    <w:p>
      <w:pPr>
        <w:spacing w:before="80" w:after="80"/>
      </w:pPr>
      <w:r>
        <w:rPr>
          <w:rFonts w:ascii="Arial" w:cs="Arial" w:eastAsia="Arial" w:hAnsi="Arial"/>
          <w:sz w:val="20"/>
          <w:szCs w:val="20"/>
        </w:rPr>
        <w:t xml:space="preserve">This document introduces the Multum SKG RDF Generation Pipeline to developers who will be taking it over, maintaining it, and evolving it. It covers the core concepts, data flow, tooling, and known technical debt. It is intentionally high-level; subsequent sessions and documentation will go into implementation detail.</w:t>
      </w:r>
    </w:p>
    <w:p>
      <w:pPr>
        <w:spacing w:before="0" w:after="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2E75B6" w:sz="4"/>
              <w:left w:val="thick" w:color="2E75B6" w:sz="12"/>
              <w:bottom w:val="single" w:color="2E75B6" w:sz="4"/>
              <w:right w:val="single" w:color="2E75B6" w:sz="4"/>
            </w:tcBorders>
            <w:shd w:fill="D6E4F0" w:val="clear"/>
            <w:tcMar>
              <w:top w:type="dxa" w:w="120"/>
              <w:left w:type="dxa" w:w="180"/>
              <w:bottom w:type="dxa" w:w="120"/>
              <w:right w:type="dxa" w:w="120"/>
            </w:tcMar>
          </w:tcPr>
          <w:p>
            <w:pPr>
              <w:spacing w:before="0" w:after="60"/>
            </w:pPr>
            <w:r>
              <w:rPr>
                <w:rFonts w:ascii="Arial" w:cs="Arial" w:eastAsia="Arial" w:hAnsi="Arial"/>
                <w:b/>
                <w:bCs/>
                <w:color w:val="4D3800"/>
                <w:sz w:val="20"/>
                <w:szCs w:val="20"/>
              </w:rPr>
              <w:t xml:space="preserve">Before you start:</w:t>
            </w:r>
          </w:p>
          <w:p>
            <w:pPr>
              <w:spacing w:before="0" w:after="0"/>
            </w:pPr>
            <w:r>
              <w:rPr>
                <w:rFonts w:ascii="Arial" w:cs="Arial" w:eastAsia="Arial" w:hAnsi="Arial"/>
                <w:color w:val="4D3800"/>
                <w:sz w:val="20"/>
                <w:szCs w:val="20"/>
              </w:rPr>
              <w:t xml:space="preserve">Research and become familiar with: RDF, OWL, TTL (Turtle), SPARQL, and TriG format. These are W3C semantic web standards. Most of the complexity in this system derives directly from the RDF data model. Understanding the model before reading code will save significant time.</w:t>
            </w:r>
          </w:p>
        </w:tc>
      </w:tr>
    </w:tbl>
    <w:p>
      <w:pPr>
        <w:spacing w:before="0" w:after="0"/>
      </w:pPr>
      <w:r>
        <w:t xml:space="preserve"/>
      </w:r>
    </w:p>
    <w:p>
      <w:pPr>
        <w:pStyle w:val="Heading1"/>
        <w:pBdr>
          <w:bottom w:val="single" w:color="2E75B6" w:sz="8" w:space="4"/>
        </w:pBdr>
        <w:spacing w:before="320" w:after="160"/>
      </w:pPr>
      <w:r>
        <w:rPr>
          <w:rFonts w:ascii="Arial" w:cs="Arial" w:eastAsia="Arial" w:hAnsi="Arial"/>
          <w:b/>
          <w:bCs/>
          <w:color w:val="1F4E79"/>
          <w:sz w:val="32"/>
          <w:szCs w:val="32"/>
        </w:rPr>
        <w:t xml:space="preserve">2.  Background and Context</w:t>
      </w:r>
    </w:p>
    <w:p>
      <w:pPr>
        <w:pStyle w:val="Heading2"/>
        <w:spacing w:before="240" w:after="120"/>
      </w:pPr>
      <w:r>
        <w:rPr>
          <w:rFonts w:ascii="Arial" w:cs="Arial" w:eastAsia="Arial" w:hAnsi="Arial"/>
          <w:b/>
          <w:bCs/>
          <w:color w:val="2E75B6"/>
          <w:sz w:val="26"/>
          <w:szCs w:val="26"/>
        </w:rPr>
        <w:t xml:space="preserve">2.1  What Is SKG?</w:t>
      </w:r>
    </w:p>
    <w:p>
      <w:pPr>
        <w:spacing w:before="80" w:after="80"/>
      </w:pPr>
      <w:r>
        <w:rPr>
          <w:rFonts w:ascii="Arial" w:cs="Arial" w:eastAsia="Arial" w:hAnsi="Arial"/>
          <w:sz w:val="20"/>
          <w:szCs w:val="20"/>
        </w:rPr>
        <w:t xml:space="preserve">SKG (Semantic Knowledge Graph) is Oracle's RDF graph database platform running on Oracle 26 AI. It stores data as RDF triples rather than relational rows. The Multum Clinical Data team is responsible for generating and delivering RDF graph files that SKG ingests.</w:t>
      </w:r>
    </w:p>
    <w:p>
      <w:pPr>
        <w:spacing w:before="80" w:after="80"/>
      </w:pPr>
      <w:r>
        <w:rPr>
          <w:rFonts w:ascii="Arial" w:cs="Arial" w:eastAsia="Arial" w:hAnsi="Arial"/>
          <w:sz w:val="20"/>
          <w:szCs w:val="20"/>
        </w:rPr>
        <w:t xml:space="preserve">RDF data is expressed as triples: Subject – Predicate – Object. Think of this as a sentence: a subject has some relationship (predicate) to some value or other entity (object). For example:</w:t>
      </w:r>
    </w:p>
    <w:p>
      <w:pPr>
        <w:spacing w:before="60" w:after="60"/>
        <w:ind w:left="360"/>
      </w:pPr>
      <w:r>
        <w:rPr>
          <w:rFonts w:ascii="Courier New" w:cs="Courier New" w:eastAsia="Courier New" w:hAnsi="Courier New"/>
          <w:color w:val="1A1A1A"/>
          <w:sz w:val="18"/>
          <w:szCs w:val="18"/>
          <w:shd w:fill="F2F2F2" w:val="clear"/>
        </w:rPr>
        <w:t xml:space="preserve">allergyCategory:106  mt:hasAllergyDescription  "Penicillins" .</w:t>
      </w:r>
    </w:p>
    <w:p>
      <w:pPr>
        <w:spacing w:before="80" w:after="80"/>
      </w:pPr>
      <w:r>
        <w:rPr>
          <w:rFonts w:ascii="Arial" w:cs="Arial" w:eastAsia="Arial" w:hAnsi="Arial"/>
          <w:sz w:val="20"/>
          <w:szCs w:val="20"/>
        </w:rPr>
        <w:t xml:space="preserve">The object can be a literal value (a string, date, number) or an IRI that points to another entity, functioning like a foreign key in the relational world.</w:t>
      </w:r>
    </w:p>
    <w:p>
      <w:pPr>
        <w:spacing w:before="0" w:after="0"/>
      </w:pPr>
      <w:r>
        <w:t xml:space="preserve"/>
      </w:r>
    </w:p>
    <w:p>
      <w:pPr>
        <w:pStyle w:val="Heading2"/>
        <w:spacing w:before="240" w:after="120"/>
      </w:pPr>
      <w:r>
        <w:rPr>
          <w:rFonts w:ascii="Arial" w:cs="Arial" w:eastAsia="Arial" w:hAnsi="Arial"/>
          <w:b/>
          <w:bCs/>
          <w:color w:val="2E75B6"/>
          <w:sz w:val="26"/>
          <w:szCs w:val="26"/>
        </w:rPr>
        <w:t xml:space="preserve">2.2  File Formats</w:t>
      </w:r>
    </w:p>
    <w:p>
      <w:pPr>
        <w:spacing w:before="80" w:after="80"/>
      </w:pPr>
      <w:r>
        <w:rPr>
          <w:rFonts w:ascii="Arial" w:cs="Arial" w:eastAsia="Arial" w:hAnsi="Arial"/>
          <w:sz w:val="20"/>
          <w:szCs w:val="20"/>
        </w:rPr>
        <w:t xml:space="preserve">Three formats are referenced throughout the codebase. Know the difference:</w:t>
      </w:r>
    </w:p>
    <w:p>
      <w:pPr>
        <w:spacing w:before="0" w:after="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800"/>
        <w:gridCol w:w="6560"/>
      </w:tblGrid>
      <w:tr>
        <w:tc>
          <w:tcPr>
            <w:tcW w:type="dxa" w:w="2800"/>
            <w:tcBorders>
              <w:top w:val="single" w:color="CCCCCC" w:sz="1"/>
              <w:left w:val="single" w:color="CCCCCC" w:sz="1"/>
              <w:bottom w:val="single" w:color="CCCCCC" w:sz="1"/>
              <w:right w:val="single" w:color="CCCCCC" w:sz="1"/>
            </w:tcBorders>
            <w:shd w:fill="1F4E79" w:val="clear"/>
            <w:tcMar>
              <w:top w:type="dxa" w:w="80"/>
              <w:left w:type="dxa" w:w="120"/>
              <w:bottom w:type="dxa" w:w="80"/>
              <w:right w:type="dxa" w:w="120"/>
            </w:tcMar>
          </w:tcPr>
          <w:p>
            <w:r>
              <w:rPr>
                <w:rFonts w:ascii="Arial" w:cs="Arial" w:eastAsia="Arial" w:hAnsi="Arial"/>
                <w:b/>
                <w:bCs/>
                <w:color w:val="FFFFFF"/>
                <w:sz w:val="19"/>
                <w:szCs w:val="19"/>
              </w:rPr>
              <w:t xml:space="preserve">Format</w:t>
            </w:r>
          </w:p>
        </w:tc>
        <w:tc>
          <w:tcPr>
            <w:tcW w:type="dxa" w:w="6560"/>
            <w:tcBorders>
              <w:top w:val="single" w:color="CCCCCC" w:sz="1"/>
              <w:left w:val="single" w:color="CCCCCC" w:sz="1"/>
              <w:bottom w:val="single" w:color="CCCCCC" w:sz="1"/>
              <w:right w:val="single" w:color="CCCCCC" w:sz="1"/>
            </w:tcBorders>
            <w:shd w:fill="1F4E79" w:val="clear"/>
            <w:tcMar>
              <w:top w:type="dxa" w:w="80"/>
              <w:left w:type="dxa" w:w="120"/>
              <w:bottom w:type="dxa" w:w="80"/>
              <w:right w:type="dxa" w:w="120"/>
            </w:tcMar>
          </w:tcPr>
          <w:p>
            <w:r>
              <w:rPr>
                <w:rFonts w:ascii="Arial" w:cs="Arial" w:eastAsia="Arial" w:hAnsi="Arial"/>
                <w:b/>
                <w:bCs/>
                <w:color w:val="FFFFFF"/>
                <w:sz w:val="19"/>
                <w:szCs w:val="19"/>
              </w:rPr>
              <w:t xml:space="preserve">Description</w:t>
            </w:r>
          </w:p>
        </w:tc>
      </w:tr>
      <w:tr>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TTL (Turtle)</w:t>
            </w:r>
          </w:p>
        </w:tc>
        <w:tc>
          <w:tcPr>
            <w:tcW w:type="dxa" w:w="65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Compact, human-readable RDF serialization. Uses prefixes to shorten IRIs. Serializes a single RDF graph. This is what most of the pipeline produces internally as an intermediate format.</w:t>
            </w:r>
          </w:p>
        </w:tc>
      </w:tr>
      <w:tr>
        <w:tc>
          <w:tcPr>
            <w:tcW w:type="dxa" w:w="280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TriG</w:t>
            </w:r>
          </w:p>
        </w:tc>
        <w:tc>
          <w:tcPr>
            <w:tcW w:type="dxa" w:w="656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Extends Turtle to serialize an RDF dataset, which is a default graph plus zero or more named graphs. Named graph content is enclosed in { }. Triples written outside any { } block are legal and go to the default graph. This is the final delivery format to SKG.</w:t>
            </w:r>
          </w:p>
        </w:tc>
      </w:tr>
      <w:tr>
        <w:tc>
          <w:tcPr>
            <w:tcW w:type="dxa" w:w="28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SPARQL</w:t>
            </w:r>
          </w:p>
        </w:tc>
        <w:tc>
          <w:tcPr>
            <w:tcW w:type="dxa" w:w="65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Query and update language for RDF graphs. Equivalent to SQL in the relational world. Used for targeted incremental updates when direct DB access is available. SPARQL 1.1 includes both query and update operations (INSERT, DELETE).</w:t>
            </w:r>
          </w:p>
        </w:tc>
      </w:tr>
    </w:tbl>
    <w:p>
      <w:pPr>
        <w:spacing w:before="0" w:after="0"/>
      </w:pPr>
      <w:r>
        <w:t xml:space="preserve"/>
      </w:r>
    </w:p>
    <w:p>
      <w:pPr>
        <w:spacing w:before="80" w:after="80"/>
      </w:pPr>
      <w:r>
        <w:rPr>
          <w:rFonts w:ascii="Arial" w:cs="Arial" w:eastAsia="Arial" w:hAnsi="Arial"/>
          <w:sz w:val="20"/>
          <w:szCs w:val="20"/>
        </w:rPr>
        <w:t xml:space="preserve">TriG extends the Turtle grammar: any valid Turtle document is also valid TriG (the triples are treated as belonging to the default graph). The converse is not true. The pipeline’s intermediate files are .ttl; the final output is .trig because it adds the named graph wrapper required by SKG.</w:t>
      </w:r>
    </w:p>
    <w:p>
      <w:pPr>
        <w:spacing w:before="0" w:after="0"/>
      </w:pPr>
      <w:r>
        <w:t xml:space="preserve"/>
      </w:r>
    </w:p>
    <w:p>
      <w:pPr>
        <w:pStyle w:val="Heading2"/>
        <w:spacing w:before="240" w:after="120"/>
      </w:pPr>
      <w:r>
        <w:rPr>
          <w:rFonts w:ascii="Arial" w:cs="Arial" w:eastAsia="Arial" w:hAnsi="Arial"/>
          <w:b/>
          <w:bCs/>
          <w:color w:val="2E75B6"/>
          <w:sz w:val="26"/>
          <w:szCs w:val="26"/>
        </w:rPr>
        <w:t xml:space="preserve">2.3  Prefixes and IRIs</w:t>
      </w:r>
    </w:p>
    <w:p>
      <w:pPr>
        <w:spacing w:before="80" w:after="80"/>
      </w:pPr>
      <w:r>
        <w:rPr>
          <w:rFonts w:ascii="Arial" w:cs="Arial" w:eastAsia="Arial" w:hAnsi="Arial"/>
          <w:sz w:val="20"/>
          <w:szCs w:val="20"/>
        </w:rPr>
        <w:t xml:space="preserve">IRIs (Internationalized Resource Identifiers) are used instead of URLs in RDF. To keep file sizes manageable, prefixes are declared at the top of each file and used as shorthand throughout. For example:</w:t>
      </w:r>
    </w:p>
    <w:p>
      <w:pPr>
        <w:spacing w:before="60" w:after="60"/>
        <w:ind w:left="360"/>
      </w:pPr>
      <w:r>
        <w:rPr>
          <w:rFonts w:ascii="Courier New" w:cs="Courier New" w:eastAsia="Courier New" w:hAnsi="Courier New"/>
          <w:color w:val="1A1A1A"/>
          <w:sz w:val="18"/>
          <w:szCs w:val="18"/>
          <w:shd w:fill="F2F2F2" w:val="clear"/>
        </w:rPr>
        <w:t xml:space="preserve">@prefix mt:  &lt;http://multum.health.oraclecloud.com/mulcor-enus/ns#&gt; .</w:t>
      </w:r>
    </w:p>
    <w:p>
      <w:pPr>
        <w:spacing w:before="60" w:after="60"/>
        <w:ind w:left="360"/>
      </w:pPr>
      <w:r>
        <w:rPr>
          <w:rFonts w:ascii="Courier New" w:cs="Courier New" w:eastAsia="Courier New" w:hAnsi="Courier New"/>
          <w:color w:val="1A1A1A"/>
          <w:sz w:val="18"/>
          <w:szCs w:val="18"/>
          <w:shd w:fill="F2F2F2" w:val="clear"/>
        </w:rPr>
        <w:t xml:space="preserve">@prefix drug: &lt;http://multum.health.oraclecloud.com/mulcor-enus/Drug/&gt; .</w:t>
      </w:r>
    </w:p>
    <w:p>
      <w:pPr>
        <w:spacing w:before="80" w:after="80"/>
      </w:pPr>
      <w:r>
        <w:rPr>
          <w:rFonts w:ascii="Arial" w:cs="Arial" w:eastAsia="Arial" w:hAnsi="Arial"/>
          <w:sz w:val="20"/>
          <w:szCs w:val="20"/>
        </w:rPr>
        <w:t xml:space="preserve">After these declarations, drug:d00001 is valid shorthand for the full IRI. Without prefixes, the output file would be several times larger.</w:t>
      </w:r>
    </w:p>
    <w:p>
      <w:pPr>
        <w:spacing w:before="0" w:after="0"/>
      </w:pPr>
      <w:r>
        <w:t xml:space="preserve"/>
      </w:r>
    </w:p>
    <w:p>
      <w:pPr>
        <w:pStyle w:val="Heading2"/>
        <w:spacing w:before="240" w:after="120"/>
      </w:pPr>
      <w:r>
        <w:rPr>
          <w:rFonts w:ascii="Arial" w:cs="Arial" w:eastAsia="Arial" w:hAnsi="Arial"/>
          <w:b/>
          <w:bCs/>
          <w:color w:val="2E75B6"/>
          <w:sz w:val="26"/>
          <w:szCs w:val="26"/>
        </w:rPr>
        <w:t xml:space="preserve">2.4  The OWL Ontology</w:t>
      </w:r>
    </w:p>
    <w:p>
      <w:pPr>
        <w:spacing w:before="80" w:after="80"/>
      </w:pPr>
      <w:r>
        <w:rPr>
          <w:rFonts w:ascii="Arial" w:cs="Arial" w:eastAsia="Arial" w:hAnsi="Arial"/>
          <w:sz w:val="20"/>
          <w:szCs w:val="20"/>
        </w:rPr>
        <w:t xml:space="preserve">Each TriG file produced by this pipeline contains an OWL ontology block. In standard semantic web practice, ontology declarations would live in their own named graph or in the default graph. In this pipeline they are placed inside the content named graph block — a deliberate simplification made during initial development. The block declares:</w:t>
      </w:r>
    </w:p>
    <w:p>
      <w:pPr>
        <w:pStyle w:val="ListParagraph"/>
        <w:numPr>
          <w:ilvl w:val="0"/>
          <w:numId w:val="2"/>
        </w:numPr>
        <w:spacing w:before="60" w:after="60"/>
      </w:pPr>
      <w:r>
        <w:rPr>
          <w:rFonts w:ascii="Arial" w:cs="Arial" w:eastAsia="Arial" w:hAnsi="Arial"/>
          <w:sz w:val="20"/>
          <w:szCs w:val="20"/>
        </w:rPr>
        <w:t xml:space="preserve">Class definitions (owl:Class) — e.g., mt:Drug, mt:AllergyCategory</w:t>
      </w:r>
    </w:p>
    <w:p>
      <w:pPr>
        <w:pStyle w:val="ListParagraph"/>
        <w:numPr>
          <w:ilvl w:val="0"/>
          <w:numId w:val="2"/>
        </w:numPr>
        <w:spacing w:before="60" w:after="60"/>
      </w:pPr>
      <w:r>
        <w:rPr>
          <w:rFonts w:ascii="Arial" w:cs="Arial" w:eastAsia="Arial" w:hAnsi="Arial"/>
          <w:sz w:val="20"/>
          <w:szCs w:val="20"/>
        </w:rPr>
        <w:t xml:space="preserve">Object property definitions (owl:ObjectProperty) — predicates that point to other entities</w:t>
      </w:r>
    </w:p>
    <w:p>
      <w:pPr>
        <w:pStyle w:val="ListParagraph"/>
        <w:numPr>
          <w:ilvl w:val="0"/>
          <w:numId w:val="2"/>
        </w:numPr>
        <w:spacing w:before="60" w:after="60"/>
      </w:pPr>
      <w:r>
        <w:rPr>
          <w:rFonts w:ascii="Arial" w:cs="Arial" w:eastAsia="Arial" w:hAnsi="Arial"/>
          <w:sz w:val="20"/>
          <w:szCs w:val="20"/>
        </w:rPr>
        <w:t xml:space="preserve">Datatype property definitions (owl:DatatypeProperty) — predicates that hold literal values</w:t>
      </w:r>
    </w:p>
    <w:p>
      <w:pPr>
        <w:pStyle w:val="ListParagraph"/>
        <w:numPr>
          <w:ilvl w:val="0"/>
          <w:numId w:val="2"/>
        </w:numPr>
        <w:spacing w:before="60" w:after="60"/>
      </w:pPr>
      <w:r>
        <w:rPr>
          <w:rFonts w:ascii="Arial" w:cs="Arial" w:eastAsia="Arial" w:hAnsi="Arial"/>
          <w:sz w:val="20"/>
          <w:szCs w:val="20"/>
        </w:rPr>
        <w:t xml:space="preserve">Inverse property relationships</w:t>
      </w:r>
    </w:p>
    <w:p>
      <w:pPr>
        <w:spacing w:before="80" w:after="80"/>
      </w:pPr>
      <w:r>
        <w:rPr>
          <w:rFonts w:ascii="Arial" w:cs="Arial" w:eastAsia="Arial" w:hAnsi="Arial"/>
          <w:sz w:val="20"/>
          <w:szCs w:val="20"/>
        </w:rPr>
        <w:t xml:space="preserve">This ontology block is fully auto-generated from the metadata table. You do not hand-author it.</w:t>
      </w:r>
    </w:p>
    <w:p>
      <w:pPr>
        <w:spacing w:before="0" w:after="0"/>
      </w:pPr>
      <w:r>
        <w:t xml:space="preserve"/>
      </w:r>
    </w:p>
    <w:p>
      <w:r>
        <w:br w:type="page"/>
      </w:r>
    </w:p>
    <w:p>
      <w:pPr>
        <w:pStyle w:val="Heading1"/>
        <w:pBdr>
          <w:bottom w:val="single" w:color="2E75B6" w:sz="8" w:space="4"/>
        </w:pBdr>
        <w:spacing w:before="320" w:after="160"/>
      </w:pPr>
      <w:r>
        <w:rPr>
          <w:rFonts w:ascii="Arial" w:cs="Arial" w:eastAsia="Arial" w:hAnsi="Arial"/>
          <w:b/>
          <w:bCs/>
          <w:color w:val="1F4E79"/>
          <w:sz w:val="32"/>
          <w:szCs w:val="32"/>
        </w:rPr>
        <w:t xml:space="preserve">3.  Graphs and Content Areas</w:t>
      </w:r>
    </w:p>
    <w:p>
      <w:pPr>
        <w:pStyle w:val="Heading2"/>
        <w:spacing w:before="240" w:after="120"/>
      </w:pPr>
      <w:r>
        <w:rPr>
          <w:rFonts w:ascii="Arial" w:cs="Arial" w:eastAsia="Arial" w:hAnsi="Arial"/>
          <w:b/>
          <w:bCs/>
          <w:color w:val="2E75B6"/>
          <w:sz w:val="26"/>
          <w:szCs w:val="26"/>
        </w:rPr>
        <w:t xml:space="preserve">3.1  What Is a Graph?</w:t>
      </w:r>
    </w:p>
    <w:p>
      <w:pPr>
        <w:spacing w:before="80" w:after="80"/>
      </w:pPr>
      <w:r>
        <w:rPr>
          <w:rFonts w:ascii="Arial" w:cs="Arial" w:eastAsia="Arial" w:hAnsi="Arial"/>
          <w:sz w:val="20"/>
          <w:szCs w:val="20"/>
        </w:rPr>
        <w:t xml:space="preserve">In RDF, a named graph is a set of triples associated with a single IRI. SKG holds many named graphs simultaneously. Graphs are the unit of delivery: you upload a complete .trig file for a graph, and SKG loads it. There is no partial update via file upload. Updates to individual triples require direct database access via SPARQL.</w:t>
      </w:r>
    </w:p>
    <w:p>
      <w:pPr>
        <w:spacing w:before="0" w:after="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FFA500" w:sz="4"/>
              <w:left w:val="thick" w:color="FFA500" w:sz="12"/>
              <w:bottom w:val="single" w:color="FFA500" w:sz="4"/>
              <w:right w:val="single" w:color="FFA500" w:sz="4"/>
            </w:tcBorders>
            <w:shd w:fill="FFF3CD" w:val="clear"/>
            <w:tcMar>
              <w:top w:type="dxa" w:w="120"/>
              <w:left w:type="dxa" w:w="180"/>
              <w:bottom w:type="dxa" w:w="120"/>
              <w:right w:type="dxa" w:w="120"/>
            </w:tcMar>
          </w:tcPr>
          <w:p>
            <w:pPr>
              <w:spacing w:before="0" w:after="60"/>
            </w:pPr>
            <w:r>
              <w:rPr>
                <w:rFonts w:ascii="Arial" w:cs="Arial" w:eastAsia="Arial" w:hAnsi="Arial"/>
                <w:b/>
                <w:bCs/>
                <w:color w:val="4D3800"/>
                <w:sz w:val="20"/>
                <w:szCs w:val="20"/>
              </w:rPr>
              <w:t xml:space="preserve">Important: Loading behavior</w:t>
            </w:r>
          </w:p>
          <w:p>
            <w:pPr>
              <w:spacing w:before="0" w:after="0"/>
            </w:pPr>
            <w:r>
              <w:rPr>
                <w:rFonts w:ascii="Arial" w:cs="Arial" w:eastAsia="Arial" w:hAnsi="Arial"/>
                <w:color w:val="4D3800"/>
                <w:sz w:val="20"/>
                <w:szCs w:val="20"/>
              </w:rPr>
              <w:t xml:space="preserve">When SKG loads a .trig file for a named graph that already exists, the behavior depends on the SPARQL 1.1 Graph Store Protocol operation used. A PUT operation replaces the named graph entirely. A POST/merge operation adds to it. SKG’s current practice is replacement (PUT semantics). Never upload a partial file with the expectation that it merges with existing content — confirm the intended operation with the SKG team before loading.</w:t>
            </w:r>
          </w:p>
        </w:tc>
      </w:tr>
    </w:tbl>
    <w:p>
      <w:pPr>
        <w:spacing w:before="0" w:after="0"/>
      </w:pPr>
      <w:r>
        <w:t xml:space="preserve"/>
      </w:r>
    </w:p>
    <w:p>
      <w:pPr>
        <w:pStyle w:val="Heading2"/>
        <w:spacing w:before="240" w:after="120"/>
      </w:pPr>
      <w:r>
        <w:rPr>
          <w:rFonts w:ascii="Arial" w:cs="Arial" w:eastAsia="Arial" w:hAnsi="Arial"/>
          <w:b/>
          <w:bCs/>
          <w:color w:val="2E75B6"/>
          <w:sz w:val="26"/>
          <w:szCs w:val="26"/>
        </w:rPr>
        <w:t xml:space="preserve">3.2  Current Graphs</w:t>
      </w:r>
    </w:p>
    <w:p>
      <w:pPr>
        <w:spacing w:before="80" w:after="80"/>
      </w:pPr>
      <w:r>
        <w:rPr>
          <w:rFonts w:ascii="Arial" w:cs="Arial" w:eastAsia="Arial" w:hAnsi="Arial"/>
          <w:sz w:val="20"/>
          <w:szCs w:val="20"/>
        </w:rPr>
        <w:t xml:space="preserve">The pipeline currently produces four named graphs. Each has its own licensing context and content scope:</w:t>
      </w:r>
    </w:p>
    <w:p>
      <w:pPr>
        <w:spacing w:before="0" w:after="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c>
          <w:tcPr>
            <w:tcW w:type="dxa" w:w="2400"/>
            <w:tcBorders>
              <w:top w:val="single" w:color="CCCCCC" w:sz="1"/>
              <w:left w:val="single" w:color="CCCCCC" w:sz="1"/>
              <w:bottom w:val="single" w:color="CCCCCC" w:sz="1"/>
              <w:right w:val="single" w:color="CCCCCC" w:sz="1"/>
            </w:tcBorders>
            <w:shd w:fill="1F4E79" w:val="clear"/>
            <w:tcMar>
              <w:top w:type="dxa" w:w="80"/>
              <w:left w:type="dxa" w:w="120"/>
              <w:bottom w:type="dxa" w:w="80"/>
              <w:right w:type="dxa" w:w="120"/>
            </w:tcMar>
          </w:tcPr>
          <w:p>
            <w:r>
              <w:rPr>
                <w:rFonts w:ascii="Arial" w:cs="Arial" w:eastAsia="Arial" w:hAnsi="Arial"/>
                <w:b/>
                <w:bCs/>
                <w:color w:val="FFFFFF"/>
                <w:sz w:val="19"/>
                <w:szCs w:val="19"/>
              </w:rPr>
              <w:t xml:space="preserve">Graph</w:t>
            </w:r>
          </w:p>
        </w:tc>
        <w:tc>
          <w:tcPr>
            <w:tcW w:type="dxa" w:w="6960"/>
            <w:tcBorders>
              <w:top w:val="single" w:color="CCCCCC" w:sz="1"/>
              <w:left w:val="single" w:color="CCCCCC" w:sz="1"/>
              <w:bottom w:val="single" w:color="CCCCCC" w:sz="1"/>
              <w:right w:val="single" w:color="CCCCCC" w:sz="1"/>
            </w:tcBorders>
            <w:shd w:fill="1F4E79" w:val="clear"/>
            <w:tcMar>
              <w:top w:type="dxa" w:w="80"/>
              <w:left w:type="dxa" w:w="120"/>
              <w:bottom w:type="dxa" w:w="80"/>
              <w:right w:type="dxa" w:w="120"/>
            </w:tcMar>
          </w:tcPr>
          <w:p>
            <w:r>
              <w:rPr>
                <w:rFonts w:ascii="Arial" w:cs="Arial" w:eastAsia="Arial" w:hAnsi="Arial"/>
                <w:b/>
                <w:bCs/>
                <w:color w:val="FFFFFF"/>
                <w:sz w:val="19"/>
                <w:szCs w:val="19"/>
              </w:rPr>
              <w:t xml:space="preserve">Description</w:t>
            </w:r>
          </w:p>
        </w:tc>
      </w:tr>
      <w:tr>
        <w:tc>
          <w:tcPr>
            <w:tcW w:type="dxa" w:w="2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mulcor-enus  (and other cultures)</w:t>
            </w:r>
          </w:p>
        </w:tc>
        <w:tc>
          <w:tcPr>
            <w:tcW w:type="dxa" w:w="69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Core Multum clinical content: drugs, interactions, dose ranges, allergy categories, etc. This is the largest graph. One graph file is generated per culture (e.g., en-US, en-GB, en-AU, es-ES).</w:t>
            </w:r>
          </w:p>
        </w:tc>
      </w:tr>
      <w:tr>
        <w:tc>
          <w:tcPr>
            <w:tcW w:type="dxa" w:w="240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mulivc-enus</w:t>
            </w:r>
          </w:p>
        </w:tc>
        <w:tc>
          <w:tcPr>
            <w:tcW w:type="dxa" w:w="696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IV Compatibility data (King’s Guide). Determines whether two drugs can safely share an IV line. Licensed separately.</w:t>
            </w:r>
          </w:p>
        </w:tc>
      </w:tr>
      <w:tr>
        <w:tc>
          <w:tcPr>
            <w:tcW w:type="dxa" w:w="2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mullpd-enus</w:t>
            </w:r>
          </w:p>
        </w:tc>
        <w:tc>
          <w:tcPr>
            <w:tcW w:type="dxa" w:w="69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Lexicon Pediatric DRC. Pediatric-specific dosing data. Licensed separately.</w:t>
            </w:r>
          </w:p>
        </w:tc>
      </w:tr>
      <w:tr>
        <w:tc>
          <w:tcPr>
            <w:tcW w:type="dxa" w:w="240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mul3di-enus</w:t>
            </w:r>
          </w:p>
        </w:tc>
        <w:tc>
          <w:tcPr>
            <w:tcW w:type="dxa" w:w="696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Three-Drug Image. Package photos showing pill appearance, markings, and box. Three images per drug product.</w:t>
            </w:r>
          </w:p>
        </w:tc>
      </w:tr>
    </w:tbl>
    <w:p>
      <w:pPr>
        <w:spacing w:before="0" w:after="0"/>
      </w:pPr>
      <w:r>
        <w:t xml:space="preserve"/>
      </w:r>
    </w:p>
    <w:p>
      <w:pPr>
        <w:pStyle w:val="Heading2"/>
        <w:spacing w:before="240" w:after="120"/>
      </w:pPr>
      <w:r>
        <w:rPr>
          <w:rFonts w:ascii="Arial" w:cs="Arial" w:eastAsia="Arial" w:hAnsi="Arial"/>
          <w:b/>
          <w:bCs/>
          <w:color w:val="2E75B6"/>
          <w:sz w:val="26"/>
          <w:szCs w:val="26"/>
        </w:rPr>
        <w:t xml:space="preserve">3.3  Cultures</w:t>
      </w:r>
    </w:p>
    <w:p>
      <w:pPr>
        <w:spacing w:before="80" w:after="80"/>
      </w:pPr>
      <w:r>
        <w:rPr>
          <w:rFonts w:ascii="Arial" w:cs="Arial" w:eastAsia="Arial" w:hAnsi="Arial"/>
          <w:sz w:val="20"/>
          <w:szCs w:val="20"/>
        </w:rPr>
        <w:t xml:space="preserve">The core graph is multi-cultural. Each culture produces a separate graph file. A culture is defined by language and country (e.g., en-US, en-GB, es-ES). The generation script accepts a graph selection at runtime that determines which culture to build. Country and version filtering is built into the data model but not yet fully activated in the pipeline.</w:t>
      </w:r>
    </w:p>
    <w:p>
      <w:pPr>
        <w:pStyle w:val="Heading2"/>
        <w:spacing w:before="240" w:after="120"/>
      </w:pPr>
      <w:r>
        <w:rPr>
          <w:rFonts w:ascii="Arial" w:cs="Arial" w:eastAsia="Arial" w:hAnsi="Arial"/>
          <w:b/>
          <w:bCs/>
          <w:color w:val="2E75B6"/>
          <w:sz w:val="26"/>
          <w:szCs w:val="26"/>
        </w:rPr>
        <w:t xml:space="preserve">3.4  Working with SKG</w:t>
      </w:r>
    </w:p>
    <w:p>
      <w:pPr>
        <w:spacing w:before="80" w:after="80"/>
      </w:pPr>
      <w:r>
        <w:rPr>
          <w:rFonts w:ascii="Arial" w:cs="Arial" w:eastAsia="Arial" w:hAnsi="Arial"/>
          <w:sz w:val="20"/>
          <w:szCs w:val="20"/>
        </w:rPr>
        <w:t xml:space="preserve">The SKG team reviews new graphs before they can progress beyond the development environment. Any new graph, or significant schema change to an existing graph, requires coordination with SKG. Schema additions (new classes, new predicates) are low-risk in RDF due to the flexible data model. Schema removals require more care as downstream consumers may depend on them.</w:t>
      </w:r>
    </w:p>
    <w:p>
      <w:pPr>
        <w:spacing w:before="0" w:after="0"/>
      </w:pPr>
      <w:r>
        <w:t xml:space="preserve"/>
      </w:r>
    </w:p>
    <w:p>
      <w:r>
        <w:br w:type="page"/>
      </w:r>
    </w:p>
    <w:p>
      <w:pPr>
        <w:pStyle w:val="Heading1"/>
        <w:pBdr>
          <w:bottom w:val="single" w:color="2E75B6" w:sz="8" w:space="4"/>
        </w:pBdr>
        <w:spacing w:before="320" w:after="160"/>
      </w:pPr>
      <w:r>
        <w:rPr>
          <w:rFonts w:ascii="Arial" w:cs="Arial" w:eastAsia="Arial" w:hAnsi="Arial"/>
          <w:b/>
          <w:bCs/>
          <w:color w:val="1F4E79"/>
          <w:sz w:val="32"/>
          <w:szCs w:val="32"/>
        </w:rPr>
        <w:t xml:space="preserve">4.  Source Data Architecture</w:t>
      </w:r>
    </w:p>
    <w:p>
      <w:pPr>
        <w:pStyle w:val="Heading2"/>
        <w:spacing w:before="240" w:after="120"/>
      </w:pPr>
      <w:r>
        <w:rPr>
          <w:rFonts w:ascii="Arial" w:cs="Arial" w:eastAsia="Arial" w:hAnsi="Arial"/>
          <w:b/>
          <w:bCs/>
          <w:color w:val="2E75B6"/>
          <w:sz w:val="26"/>
          <w:szCs w:val="26"/>
        </w:rPr>
        <w:t xml:space="preserve">4.1  Database and Views</w:t>
      </w:r>
    </w:p>
    <w:p>
      <w:pPr>
        <w:spacing w:before="80" w:after="80"/>
      </w:pPr>
      <w:r>
        <w:rPr>
          <w:rFonts w:ascii="Arial" w:cs="Arial" w:eastAsia="Arial" w:hAnsi="Arial"/>
          <w:sz w:val="20"/>
          <w:szCs w:val="20"/>
        </w:rPr>
        <w:t xml:space="preserve">All source data lives in the Global_Distribute Oracle schema. Three families of views feed the pipeline:</w:t>
      </w:r>
    </w:p>
    <w:p>
      <w:pPr>
        <w:spacing w:before="0" w:after="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c>
          <w:tcPr>
            <w:tcW w:type="dxa" w:w="2400"/>
            <w:tcBorders>
              <w:top w:val="single" w:color="CCCCCC" w:sz="1"/>
              <w:left w:val="single" w:color="CCCCCC" w:sz="1"/>
              <w:bottom w:val="single" w:color="CCCCCC" w:sz="1"/>
              <w:right w:val="single" w:color="CCCCCC" w:sz="1"/>
            </w:tcBorders>
            <w:shd w:fill="1F4E79" w:val="clear"/>
            <w:tcMar>
              <w:top w:type="dxa" w:w="80"/>
              <w:left w:type="dxa" w:w="120"/>
              <w:bottom w:type="dxa" w:w="80"/>
              <w:right w:type="dxa" w:w="120"/>
            </w:tcMar>
          </w:tcPr>
          <w:p>
            <w:r>
              <w:rPr>
                <w:rFonts w:ascii="Arial" w:cs="Arial" w:eastAsia="Arial" w:hAnsi="Arial"/>
                <w:b/>
                <w:bCs/>
                <w:color w:val="FFFFFF"/>
                <w:sz w:val="19"/>
                <w:szCs w:val="19"/>
              </w:rPr>
              <w:t xml:space="preserve">View Family</w:t>
            </w:r>
          </w:p>
        </w:tc>
        <w:tc>
          <w:tcPr>
            <w:tcW w:type="dxa" w:w="6960"/>
            <w:tcBorders>
              <w:top w:val="single" w:color="CCCCCC" w:sz="1"/>
              <w:left w:val="single" w:color="CCCCCC" w:sz="1"/>
              <w:bottom w:val="single" w:color="CCCCCC" w:sz="1"/>
              <w:right w:val="single" w:color="CCCCCC" w:sz="1"/>
            </w:tcBorders>
            <w:shd w:fill="1F4E79" w:val="clear"/>
            <w:tcMar>
              <w:top w:type="dxa" w:w="80"/>
              <w:left w:type="dxa" w:w="120"/>
              <w:bottom w:type="dxa" w:w="80"/>
              <w:right w:type="dxa" w:w="120"/>
            </w:tcMar>
          </w:tcPr>
          <w:p>
            <w:r>
              <w:rPr>
                <w:rFonts w:ascii="Arial" w:cs="Arial" w:eastAsia="Arial" w:hAnsi="Arial"/>
                <w:b/>
                <w:bCs/>
                <w:color w:val="FFFFFF"/>
                <w:sz w:val="19"/>
                <w:szCs w:val="19"/>
              </w:rPr>
              <w:t xml:space="preserve">Description</w:t>
            </w:r>
          </w:p>
        </w:tc>
      </w:tr>
      <w:tr>
        <w:tc>
          <w:tcPr>
            <w:tcW w:type="dxa" w:w="2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V_GRF_*  (Graph views)</w:t>
            </w:r>
          </w:p>
        </w:tc>
        <w:tc>
          <w:tcPr>
            <w:tcW w:type="dxa" w:w="69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The primary data source for SKG. Built on top of the VVRx views below. These define exactly what goes into each graph.</w:t>
            </w:r>
          </w:p>
        </w:tc>
      </w:tr>
      <w:tr>
        <w:tc>
          <w:tcPr>
            <w:tcW w:type="dxa" w:w="240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V_VRx_*  (Vantage RX views)</w:t>
            </w:r>
          </w:p>
        </w:tc>
        <w:tc>
          <w:tcPr>
            <w:tcW w:type="dxa" w:w="696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The Vantage product views. The GRF views are built on these as their foundation.</w:t>
            </w:r>
          </w:p>
        </w:tc>
      </w:tr>
      <w:tr>
        <w:tc>
          <w:tcPr>
            <w:tcW w:type="dxa" w:w="2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V_SDK_*  (SDK views)</w:t>
            </w:r>
          </w:p>
        </w:tc>
        <w:tc>
          <w:tcPr>
            <w:tcW w:type="dxa" w:w="69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Recently migrated from SQL Server. Produce a separate data set for SDK consumers.</w:t>
            </w:r>
          </w:p>
        </w:tc>
      </w:tr>
      <w:tr>
        <w:tc>
          <w:tcPr>
            <w:tcW w:type="dxa" w:w="240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V_Cern_*  (Cerner/Millennium views)</w:t>
            </w:r>
          </w:p>
        </w:tc>
        <w:tc>
          <w:tcPr>
            <w:tcW w:type="dxa" w:w="696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Cerner-specific data. Separate data set, not part of the core graph.</w:t>
            </w:r>
          </w:p>
        </w:tc>
      </w:tr>
    </w:tbl>
    <w:p>
      <w:pPr>
        <w:spacing w:before="0" w:after="0"/>
      </w:pPr>
      <w:r>
        <w:t xml:space="preserve"/>
      </w:r>
    </w:p>
    <w:p>
      <w:pPr>
        <w:pStyle w:val="Heading2"/>
        <w:spacing w:before="240" w:after="120"/>
      </w:pPr>
      <w:r>
        <w:rPr>
          <w:rFonts w:ascii="Arial" w:cs="Arial" w:eastAsia="Arial" w:hAnsi="Arial"/>
          <w:b/>
          <w:bCs/>
          <w:color w:val="2E75B6"/>
          <w:sz w:val="26"/>
          <w:szCs w:val="26"/>
        </w:rPr>
        <w:t xml:space="preserve">4.2  Performance Tables</w:t>
      </w:r>
    </w:p>
    <w:p>
      <w:pPr>
        <w:spacing w:before="80" w:after="80"/>
      </w:pPr>
      <w:r>
        <w:rPr>
          <w:rFonts w:ascii="Arial" w:cs="Arial" w:eastAsia="Arial" w:hAnsi="Arial"/>
          <w:sz w:val="20"/>
          <w:szCs w:val="20"/>
        </w:rPr>
        <w:t xml:space="preserve">The pipeline does not query the GRF views directly at generation time. Instead, before each pipeline run, the views are materialized into tables. This is a performance optimization: reading from a pre-built table is significantly faster than streaming from a view, particularly at the scale of data involved (multi-GB output files).</w:t>
      </w:r>
    </w:p>
    <w:p>
      <w:pPr>
        <w:spacing w:before="80" w:after="80"/>
      </w:pPr>
      <w:r>
        <w:rPr>
          <w:rFonts w:ascii="Arial" w:cs="Arial" w:eastAsia="Arial" w:hAnsi="Arial"/>
          <w:sz w:val="20"/>
          <w:szCs w:val="20"/>
        </w:rPr>
        <w:t xml:space="preserve">Before running the pipeline, execute the stored procedure that rebuilds these tables from the current view definitions. This must be re-run every time a new data set is received from production.</w:t>
      </w:r>
    </w:p>
    <w:p>
      <w:pPr>
        <w:spacing w:before="0" w:after="0"/>
      </w:pPr>
      <w:r>
        <w:t xml:space="preserve"/>
      </w:r>
    </w:p>
    <w:p>
      <w:pPr>
        <w:pStyle w:val="Heading2"/>
        <w:spacing w:before="240" w:after="120"/>
      </w:pPr>
      <w:r>
        <w:rPr>
          <w:rFonts w:ascii="Arial" w:cs="Arial" w:eastAsia="Arial" w:hAnsi="Arial"/>
          <w:b/>
          <w:bCs/>
          <w:color w:val="2E75B6"/>
          <w:sz w:val="26"/>
          <w:szCs w:val="26"/>
        </w:rPr>
        <w:t xml:space="preserve">4.3  The Metadata Table (UTIL_GRF_R2RML_COLUMN)</w:t>
      </w:r>
    </w:p>
    <w:p>
      <w:pPr>
        <w:spacing w:before="80" w:after="80"/>
      </w:pPr>
      <w:r>
        <w:rPr>
          <w:rFonts w:ascii="Arial" w:cs="Arial" w:eastAsia="Arial" w:hAnsi="Arial"/>
          <w:sz w:val="20"/>
          <w:szCs w:val="20"/>
        </w:rPr>
        <w:t xml:space="preserve">This is the control table that drives the entire Python generation process. It is populated by running a stored procedure against Oracle system tables, then customized via a second script. It contains:</w:t>
      </w:r>
    </w:p>
    <w:p>
      <w:pPr>
        <w:pStyle w:val="ListParagraph"/>
        <w:numPr>
          <w:ilvl w:val="0"/>
          <w:numId w:val="2"/>
        </w:numPr>
        <w:spacing w:before="60" w:after="60"/>
      </w:pPr>
      <w:r>
        <w:rPr>
          <w:rFonts w:ascii="Arial" w:cs="Arial" w:eastAsia="Arial" w:hAnsi="Arial"/>
          <w:sz w:val="20"/>
          <w:szCs w:val="20"/>
        </w:rPr>
        <w:t xml:space="preserve">Table name and column order</w:t>
      </w:r>
    </w:p>
    <w:p>
      <w:pPr>
        <w:pStyle w:val="ListParagraph"/>
        <w:numPr>
          <w:ilvl w:val="0"/>
          <w:numId w:val="2"/>
        </w:numPr>
        <w:spacing w:before="60" w:after="60"/>
      </w:pPr>
      <w:r>
        <w:rPr>
          <w:rFonts w:ascii="Arial" w:cs="Arial" w:eastAsia="Arial" w:hAnsi="Arial"/>
          <w:sz w:val="20"/>
          <w:szCs w:val="20"/>
        </w:rPr>
        <w:t xml:space="preserve">Primary key designation (IS_KEY = Y)</w:t>
      </w:r>
    </w:p>
    <w:p>
      <w:pPr>
        <w:pStyle w:val="ListParagraph"/>
        <w:numPr>
          <w:ilvl w:val="0"/>
          <w:numId w:val="2"/>
        </w:numPr>
        <w:spacing w:before="60" w:after="60"/>
      </w:pPr>
      <w:r>
        <w:rPr>
          <w:rFonts w:ascii="Arial" w:cs="Arial" w:eastAsia="Arial" w:hAnsi="Arial"/>
          <w:sz w:val="20"/>
          <w:szCs w:val="20"/>
        </w:rPr>
        <w:t xml:space="preserve">XSD datatype for each column</w:t>
      </w:r>
    </w:p>
    <w:p>
      <w:pPr>
        <w:pStyle w:val="ListParagraph"/>
        <w:numPr>
          <w:ilvl w:val="0"/>
          <w:numId w:val="2"/>
        </w:numPr>
        <w:spacing w:before="60" w:after="60"/>
      </w:pPr>
      <w:r>
        <w:rPr>
          <w:rFonts w:ascii="Arial" w:cs="Arial" w:eastAsia="Arial" w:hAnsi="Arial"/>
          <w:sz w:val="20"/>
          <w:szCs w:val="20"/>
        </w:rPr>
        <w:t xml:space="preserve">Role: subject, literal, or IRI (object pointing to another entity)</w:t>
      </w:r>
    </w:p>
    <w:p>
      <w:pPr>
        <w:pStyle w:val="ListParagraph"/>
        <w:numPr>
          <w:ilvl w:val="0"/>
          <w:numId w:val="2"/>
        </w:numPr>
        <w:spacing w:before="60" w:after="60"/>
      </w:pPr>
      <w:r>
        <w:rPr>
          <w:rFonts w:ascii="Arial" w:cs="Arial" w:eastAsia="Arial" w:hAnsi="Arial"/>
          <w:sz w:val="20"/>
          <w:szCs w:val="20"/>
        </w:rPr>
        <w:t xml:space="preserve">Predicate name for each column (e.g., mt:hasAllergyDescription)</w:t>
      </w:r>
    </w:p>
    <w:p>
      <w:pPr>
        <w:pStyle w:val="ListParagraph"/>
        <w:numPr>
          <w:ilvl w:val="0"/>
          <w:numId w:val="2"/>
        </w:numPr>
        <w:spacing w:before="60" w:after="60"/>
      </w:pPr>
      <w:r>
        <w:rPr>
          <w:rFonts w:ascii="Arial" w:cs="Arial" w:eastAsia="Arial" w:hAnsi="Arial"/>
          <w:sz w:val="20"/>
          <w:szCs w:val="20"/>
        </w:rPr>
        <w:t xml:space="preserve">IRI template for constructing object IRIs</w:t>
      </w:r>
    </w:p>
    <w:p>
      <w:pPr>
        <w:spacing w:before="80" w:after="80"/>
      </w:pPr>
      <w:r>
        <w:rPr>
          <w:rFonts w:ascii="Arial" w:cs="Arial" w:eastAsia="Arial" w:hAnsi="Arial"/>
          <w:sz w:val="20"/>
          <w:szCs w:val="20"/>
        </w:rPr>
        <w:t xml:space="preserve">The naming convention for predicates: if the predicate starts with has, the object is an IRI (it points somewhere else). Otherwise, the object is a literal value.</w:t>
      </w:r>
    </w:p>
    <w:p>
      <w:pPr>
        <w:spacing w:before="80" w:after="80"/>
      </w:pPr>
      <w:r>
        <w:rPr>
          <w:rFonts w:ascii="Arial" w:cs="Arial" w:eastAsia="Arial" w:hAnsi="Arial"/>
          <w:sz w:val="20"/>
          <w:szCs w:val="20"/>
        </w:rPr>
        <w:t xml:space="preserve">The table was originally named with R2RML in the prefix because the pipeline originally used Oracle’s R2RML engine. That was abandoned due to performance and data-type issues. The table is being renamed to reflect the RDF terminology.</w:t>
      </w:r>
    </w:p>
    <w:p>
      <w:pPr>
        <w:spacing w:before="0" w:after="0"/>
      </w:pPr>
      <w:r>
        <w:t xml:space="preserve"/>
      </w:r>
    </w:p>
    <w:p>
      <w:r>
        <w:br w:type="page"/>
      </w:r>
    </w:p>
    <w:p>
      <w:pPr>
        <w:pStyle w:val="Heading1"/>
        <w:pBdr>
          <w:bottom w:val="single" w:color="2E75B6" w:sz="8" w:space="4"/>
        </w:pBdr>
        <w:spacing w:before="320" w:after="160"/>
      </w:pPr>
      <w:r>
        <w:rPr>
          <w:rFonts w:ascii="Arial" w:cs="Arial" w:eastAsia="Arial" w:hAnsi="Arial"/>
          <w:b/>
          <w:bCs/>
          <w:color w:val="1F4E79"/>
          <w:sz w:val="32"/>
          <w:szCs w:val="32"/>
        </w:rPr>
        <w:t xml:space="preserve">5.  The Generation Pipeline</w:t>
      </w:r>
    </w:p>
    <w:p>
      <w:pPr>
        <w:pStyle w:val="Heading2"/>
        <w:spacing w:before="240" w:after="120"/>
      </w:pPr>
      <w:r>
        <w:rPr>
          <w:rFonts w:ascii="Arial" w:cs="Arial" w:eastAsia="Arial" w:hAnsi="Arial"/>
          <w:b/>
          <w:bCs/>
          <w:color w:val="2E75B6"/>
          <w:sz w:val="26"/>
          <w:szCs w:val="26"/>
        </w:rPr>
        <w:t xml:space="preserve">5.1  Folder Structure</w:t>
      </w:r>
    </w:p>
    <w:p>
      <w:pPr>
        <w:spacing w:before="80" w:after="80"/>
      </w:pPr>
      <w:r>
        <w:rPr>
          <w:rFonts w:ascii="Arial" w:cs="Arial" w:eastAsia="Arial" w:hAnsi="Arial"/>
          <w:sz w:val="20"/>
          <w:szCs w:val="20"/>
        </w:rPr>
        <w:t xml:space="preserve">The pipeline lives under C:\code\rdf_generation\skg\. The layout:</w:t>
      </w:r>
    </w:p>
    <w:p>
      <w:pPr>
        <w:spacing w:before="0" w:after="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7160"/>
      </w:tblGrid>
      <w:tr>
        <w:tc>
          <w:tcPr>
            <w:tcW w:type="dxa" w:w="2200"/>
            <w:tcBorders>
              <w:top w:val="single" w:color="CCCCCC" w:sz="1"/>
              <w:left w:val="single" w:color="CCCCCC" w:sz="1"/>
              <w:bottom w:val="single" w:color="CCCCCC" w:sz="1"/>
              <w:right w:val="single" w:color="CCCCCC" w:sz="1"/>
            </w:tcBorders>
            <w:shd w:fill="1F4E79" w:val="clear"/>
            <w:tcMar>
              <w:top w:type="dxa" w:w="80"/>
              <w:left w:type="dxa" w:w="120"/>
              <w:bottom w:type="dxa" w:w="80"/>
              <w:right w:type="dxa" w:w="120"/>
            </w:tcMar>
          </w:tcPr>
          <w:p>
            <w:r>
              <w:rPr>
                <w:rFonts w:ascii="Arial" w:cs="Arial" w:eastAsia="Arial" w:hAnsi="Arial"/>
                <w:b/>
                <w:bCs/>
                <w:color w:val="FFFFFF"/>
                <w:sz w:val="19"/>
                <w:szCs w:val="19"/>
              </w:rPr>
              <w:t xml:space="preserve">Folder</w:t>
            </w:r>
          </w:p>
        </w:tc>
        <w:tc>
          <w:tcPr>
            <w:tcW w:type="dxa" w:w="7160"/>
            <w:tcBorders>
              <w:top w:val="single" w:color="CCCCCC" w:sz="1"/>
              <w:left w:val="single" w:color="CCCCCC" w:sz="1"/>
              <w:bottom w:val="single" w:color="CCCCCC" w:sz="1"/>
              <w:right w:val="single" w:color="CCCCCC" w:sz="1"/>
            </w:tcBorders>
            <w:shd w:fill="1F4E79" w:val="clear"/>
            <w:tcMar>
              <w:top w:type="dxa" w:w="80"/>
              <w:left w:type="dxa" w:w="120"/>
              <w:bottom w:type="dxa" w:w="80"/>
              <w:right w:type="dxa" w:w="120"/>
            </w:tcMar>
          </w:tcPr>
          <w:p>
            <w:r>
              <w:rPr>
                <w:rFonts w:ascii="Arial" w:cs="Arial" w:eastAsia="Arial" w:hAnsi="Arial"/>
                <w:b/>
                <w:bCs/>
                <w:color w:val="FFFFFF"/>
                <w:sz w:val="19"/>
                <w:szCs w:val="19"/>
              </w:rPr>
              <w:t xml:space="preserve">Contents</w:t>
            </w:r>
          </w:p>
        </w:tc>
      </w:tr>
      <w:tr>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pipeline/</w:t>
            </w:r>
          </w:p>
        </w:tc>
        <w:tc>
          <w:tcPr>
            <w:tcW w:type="dxa" w:w="71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Core generation scripts: rdf_pipeline.py (orchestrator), rdf_from_metadata.py, rdf_sort_by_class.py, rdf_consolidate.py</w:t>
            </w:r>
          </w:p>
        </w:tc>
      </w:tr>
      <w:tr>
        <w:tc>
          <w:tcPr>
            <w:tcW w:type="dxa" w:w="220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postprocess/</w:t>
            </w:r>
          </w:p>
        </w:tc>
        <w:tc>
          <w:tcPr>
            <w:tcW w:type="dxa" w:w="716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Post-generation utilities: rdf_sort_by_class.py, rdf_detect_duplicates.py</w:t>
            </w:r>
          </w:p>
        </w:tc>
      </w:tr>
      <w:tr>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validate/</w:t>
            </w:r>
          </w:p>
        </w:tc>
        <w:tc>
          <w:tcPr>
            <w:tcW w:type="dxa" w:w="71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Validation scripts run after generation (see Section 6)</w:t>
            </w:r>
          </w:p>
        </w:tc>
      </w:tr>
      <w:tr>
        <w:tc>
          <w:tcPr>
            <w:tcW w:type="dxa" w:w="220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report/</w:t>
            </w:r>
          </w:p>
        </w:tc>
        <w:tc>
          <w:tcPr>
            <w:tcW w:type="dxa" w:w="716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report/confluence_docx.py — generates Confluence documentation</w:t>
            </w:r>
          </w:p>
        </w:tc>
      </w:tr>
      <w:tr>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input/</w:t>
            </w:r>
          </w:p>
        </w:tc>
        <w:tc>
          <w:tcPr>
            <w:tcW w:type="dxa" w:w="71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Supplemental TTL files placed here before pipeline runs (e.g., pel_supplemental_*.ttl)</w:t>
            </w:r>
          </w:p>
        </w:tc>
      </w:tr>
      <w:tr>
        <w:tc>
          <w:tcPr>
            <w:tcW w:type="dxa" w:w="220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output/</w:t>
            </w:r>
          </w:p>
        </w:tc>
        <w:tc>
          <w:tcPr>
            <w:tcW w:type="dxa" w:w="716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All generated files written here: output.ttl, output_sorted.ttl, output_consolidated.trig</w:t>
            </w:r>
          </w:p>
        </w:tc>
      </w:tr>
      <w:tr>
        <w:tc>
          <w:tcPr>
            <w:tcW w:type="dxa" w:w="2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.env</w:t>
            </w:r>
          </w:p>
        </w:tc>
        <w:tc>
          <w:tcPr>
            <w:tcW w:type="dxa" w:w="71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Credential and environment configuration. Never commit to source control.</w:t>
            </w:r>
          </w:p>
        </w:tc>
      </w:tr>
    </w:tbl>
    <w:p>
      <w:pPr>
        <w:spacing w:before="0" w:after="0"/>
      </w:pPr>
      <w:r>
        <w:t xml:space="preserve"/>
      </w:r>
    </w:p>
    <w:p>
      <w:pPr>
        <w:pStyle w:val="Heading2"/>
        <w:spacing w:before="240" w:after="120"/>
      </w:pPr>
      <w:r>
        <w:rPr>
          <w:rFonts w:ascii="Arial" w:cs="Arial" w:eastAsia="Arial" w:hAnsi="Arial"/>
          <w:b/>
          <w:bCs/>
          <w:color w:val="2E75B6"/>
          <w:sz w:val="26"/>
          <w:szCs w:val="26"/>
        </w:rPr>
        <w:t xml:space="preserve">5.2  Pipeline Steps</w:t>
      </w:r>
    </w:p>
    <w:p>
      <w:pPr>
        <w:spacing w:before="80" w:after="80"/>
      </w:pPr>
      <w:r>
        <w:rPr>
          <w:rFonts w:ascii="Arial" w:cs="Arial" w:eastAsia="Arial" w:hAnsi="Arial"/>
          <w:sz w:val="20"/>
          <w:szCs w:val="20"/>
        </w:rPr>
        <w:t xml:space="preserve">The pipeline is orchestrated by pipeline/rdf_pipeline.py, which asks a small set of questions upfront and then runs all three steps unattended.</w:t>
      </w:r>
    </w:p>
    <w:p>
      <w:pPr>
        <w:spacing w:before="0" w:after="0"/>
      </w:pPr>
      <w:r>
        <w:t xml:space="preserve"/>
      </w:r>
    </w:p>
    <w:p>
      <w:pPr>
        <w:pStyle w:val="Heading3"/>
        <w:spacing w:before="200" w:after="80"/>
      </w:pPr>
      <w:r>
        <w:rPr>
          <w:rFonts w:ascii="Arial" w:cs="Arial" w:eastAsia="Arial" w:hAnsi="Arial"/>
          <w:b/>
          <w:bCs/>
          <w:color w:val="404040"/>
          <w:sz w:val="22"/>
          <w:szCs w:val="22"/>
        </w:rPr>
        <w:t xml:space="preserve">Step 1: Generate TTL from Metadata  (rdf_from_metadata.py)</w:t>
      </w:r>
    </w:p>
    <w:p>
      <w:pPr>
        <w:spacing w:before="80" w:after="80"/>
      </w:pPr>
      <w:r>
        <w:rPr>
          <w:rFonts w:ascii="Arial" w:cs="Arial" w:eastAsia="Arial" w:hAnsi="Arial"/>
          <w:sz w:val="20"/>
          <w:szCs w:val="20"/>
        </w:rPr>
        <w:t xml:space="preserve">Downloads table data from Oracle to CSV files in output/, then reads the metadata table and processes each row, converting the relational data into RDF triples. Writes output/output.ttl.</w:t>
      </w:r>
    </w:p>
    <w:p>
      <w:pPr>
        <w:spacing w:before="80" w:after="80"/>
      </w:pPr>
      <w:r>
        <w:rPr>
          <w:rFonts w:ascii="Arial" w:cs="Arial" w:eastAsia="Arial" w:hAnsi="Arial"/>
          <w:sz w:val="20"/>
          <w:szCs w:val="20"/>
        </w:rPr>
        <w:t xml:space="preserve">The skip-download flag lets you re-use existing CSVs, which is useful when troubleshooting a single table: delete just that CSV, run with skip=yes, and only that table re-downloads.</w:t>
      </w:r>
    </w:p>
    <w:p>
      <w:pPr>
        <w:pStyle w:val="Heading3"/>
        <w:spacing w:before="200" w:after="80"/>
      </w:pPr>
      <w:r>
        <w:rPr>
          <w:rFonts w:ascii="Arial" w:cs="Arial" w:eastAsia="Arial" w:hAnsi="Arial"/>
          <w:b/>
          <w:bCs/>
          <w:color w:val="404040"/>
          <w:sz w:val="22"/>
          <w:szCs w:val="22"/>
        </w:rPr>
        <w:t xml:space="preserve">Step 1.5: Append Supplemental TTL</w:t>
      </w:r>
    </w:p>
    <w:p>
      <w:pPr>
        <w:spacing w:before="80" w:after="80"/>
      </w:pPr>
      <w:r>
        <w:rPr>
          <w:rFonts w:ascii="Arial" w:cs="Arial" w:eastAsia="Arial" w:hAnsi="Arial"/>
          <w:sz w:val="20"/>
          <w:szCs w:val="20"/>
        </w:rPr>
        <w:t xml:space="preserve">Handled inline by the orchestrator (not a separate script). Looks for a file matching input/pel_supplemental_*.ttl. If found, appends its content to output/output.ttl before sorting begins.</w:t>
      </w:r>
    </w:p>
    <w:p>
      <w:pPr>
        <w:spacing w:before="80" w:after="80"/>
      </w:pPr>
      <w:r>
        <w:rPr>
          <w:rFonts w:ascii="Arial" w:cs="Arial" w:eastAsia="Arial" w:hAnsi="Arial"/>
          <w:sz w:val="20"/>
          <w:szCs w:val="20"/>
        </w:rPr>
        <w:t xml:space="preserve">The Pell supplemental file is provided externally by the SKG team. It contains file-identifier mappings for patient education leaflets (PDF file IRIs uploaded directly to SKG). These IRIs must be present in the graph so the graph can reference those files.</w:t>
      </w:r>
    </w:p>
    <w:p>
      <w:pPr>
        <w:pStyle w:val="Heading3"/>
        <w:spacing w:before="200" w:after="80"/>
      </w:pPr>
      <w:r>
        <w:rPr>
          <w:rFonts w:ascii="Arial" w:cs="Arial" w:eastAsia="Arial" w:hAnsi="Arial"/>
          <w:b/>
          <w:bCs/>
          <w:color w:val="404040"/>
          <w:sz w:val="22"/>
          <w:szCs w:val="22"/>
        </w:rPr>
        <w:t xml:space="preserve">Step 2: Sort by Class  (rdf_sort_by_class.py)</w:t>
      </w:r>
    </w:p>
    <w:p>
      <w:pPr>
        <w:spacing w:before="80" w:after="80"/>
      </w:pPr>
      <w:r>
        <w:rPr>
          <w:rFonts w:ascii="Arial" w:cs="Arial" w:eastAsia="Arial" w:hAnsi="Arial"/>
          <w:sz w:val="20"/>
          <w:szCs w:val="20"/>
        </w:rPr>
        <w:t xml:space="preserve">The raw output.ttl has entities in generation order. Because multiple views can contribute predicates to the same subject, the same subject IRI can appear in multiple separate blocks. The sort step reorders all entities by subject IRI, placing all blocks for the same subject consecutively. This is required for Step 3 to work correctly.</w:t>
      </w:r>
    </w:p>
    <w:p>
      <w:pPr>
        <w:spacing w:before="80" w:after="80"/>
      </w:pPr>
      <w:r>
        <w:rPr>
          <w:rFonts w:ascii="Arial" w:cs="Arial" w:eastAsia="Arial" w:hAnsi="Arial"/>
          <w:sz w:val="20"/>
          <w:szCs w:val="20"/>
        </w:rPr>
        <w:t xml:space="preserve">Output: output/output_sorted.ttl</w:t>
      </w:r>
    </w:p>
    <w:p>
      <w:pPr>
        <w:pStyle w:val="Heading3"/>
        <w:spacing w:before="200" w:after="80"/>
      </w:pPr>
      <w:r>
        <w:rPr>
          <w:rFonts w:ascii="Arial" w:cs="Arial" w:eastAsia="Arial" w:hAnsi="Arial"/>
          <w:b/>
          <w:bCs/>
          <w:color w:val="404040"/>
          <w:sz w:val="22"/>
          <w:szCs w:val="22"/>
        </w:rPr>
        <w:t xml:space="preserve">Step 3: Consolidate  (rdf_consolidate.py)</w:t>
      </w:r>
    </w:p>
    <w:p>
      <w:pPr>
        <w:spacing w:before="80" w:after="80"/>
      </w:pPr>
      <w:r>
        <w:rPr>
          <w:rFonts w:ascii="Arial" w:cs="Arial" w:eastAsia="Arial" w:hAnsi="Arial"/>
          <w:sz w:val="20"/>
          <w:szCs w:val="20"/>
        </w:rPr>
        <w:t xml:space="preserve">Merges all consecutive blocks with the same subject IRI and primary class into a single block. This produces the clean, maintainable final file where every subject appears exactly once. Also wraps the entire content in the named graph IRI to produce valid TriG format.</w:t>
      </w:r>
    </w:p>
    <w:p>
      <w:pPr>
        <w:spacing w:before="80" w:after="80"/>
      </w:pPr>
      <w:r>
        <w:rPr>
          <w:rFonts w:ascii="Arial" w:cs="Arial" w:eastAsia="Arial" w:hAnsi="Arial"/>
          <w:sz w:val="20"/>
          <w:szCs w:val="20"/>
        </w:rPr>
        <w:t xml:space="preserve">Output: output/output_consolidated.trig</w:t>
      </w:r>
    </w:p>
    <w:p>
      <w:pPr>
        <w:spacing w:before="0" w:after="0"/>
      </w:pPr>
      <w:r>
        <w:t xml:space="preserve"/>
      </w:r>
    </w:p>
    <w:p>
      <w:pPr>
        <w:pStyle w:val="Heading2"/>
        <w:spacing w:before="240" w:after="120"/>
      </w:pPr>
      <w:r>
        <w:rPr>
          <w:rFonts w:ascii="Arial" w:cs="Arial" w:eastAsia="Arial" w:hAnsi="Arial"/>
          <w:b/>
          <w:bCs/>
          <w:color w:val="2E75B6"/>
          <w:sz w:val="26"/>
          <w:szCs w:val="26"/>
        </w:rPr>
        <w:t xml:space="preserve">5.3  Running the Pipeline</w:t>
      </w:r>
    </w:p>
    <w:p>
      <w:pPr>
        <w:spacing w:before="80" w:after="80"/>
      </w:pPr>
      <w:r>
        <w:rPr>
          <w:rFonts w:ascii="Arial" w:cs="Arial" w:eastAsia="Arial" w:hAnsi="Arial"/>
          <w:sz w:val="20"/>
          <w:szCs w:val="20"/>
        </w:rPr>
        <w:t xml:space="preserve">From the skg/ project root:</w:t>
      </w:r>
    </w:p>
    <w:p>
      <w:pPr>
        <w:spacing w:before="60" w:after="60"/>
        <w:ind w:left="360"/>
      </w:pPr>
      <w:r>
        <w:rPr>
          <w:rFonts w:ascii="Courier New" w:cs="Courier New" w:eastAsia="Courier New" w:hAnsi="Courier New"/>
          <w:color w:val="1A1A1A"/>
          <w:sz w:val="18"/>
          <w:szCs w:val="18"/>
          <w:shd w:fill="F2F2F2" w:val="clear"/>
        </w:rPr>
        <w:t xml:space="preserve">python pipeline/rdf_pipeline.py</w:t>
      </w:r>
    </w:p>
    <w:p>
      <w:pPr>
        <w:spacing w:before="80" w:after="80"/>
      </w:pPr>
      <w:r>
        <w:rPr>
          <w:rFonts w:ascii="Arial" w:cs="Arial" w:eastAsia="Arial" w:hAnsi="Arial"/>
          <w:sz w:val="20"/>
          <w:szCs w:val="20"/>
        </w:rPr>
        <w:t xml:space="preserve">The orchestrator will prompt for:</w:t>
      </w:r>
    </w:p>
    <w:p>
      <w:pPr>
        <w:pStyle w:val="ListParagraph"/>
        <w:numPr>
          <w:ilvl w:val="0"/>
          <w:numId w:val="2"/>
        </w:numPr>
        <w:spacing w:before="60" w:after="60"/>
      </w:pPr>
      <w:r>
        <w:rPr>
          <w:rFonts w:ascii="Arial" w:cs="Arial" w:eastAsia="Arial" w:hAnsi="Arial"/>
          <w:sz w:val="20"/>
          <w:szCs w:val="20"/>
        </w:rPr>
        <w:t xml:space="preserve">Skip table download? (y/n)  — Use y if CSVs already exist and are current</w:t>
      </w:r>
    </w:p>
    <w:p>
      <w:pPr>
        <w:pStyle w:val="ListParagraph"/>
        <w:numPr>
          <w:ilvl w:val="0"/>
          <w:numId w:val="2"/>
        </w:numPr>
        <w:spacing w:before="60" w:after="60"/>
      </w:pPr>
      <w:r>
        <w:rPr>
          <w:rFonts w:ascii="Arial" w:cs="Arial" w:eastAsia="Arial" w:hAnsi="Arial"/>
          <w:sz w:val="20"/>
          <w:szCs w:val="20"/>
        </w:rPr>
        <w:t xml:space="preserve">Max subjects per table (0 = all)  — Use a small number (e.g., 10) for test runs</w:t>
      </w:r>
    </w:p>
    <w:p>
      <w:pPr>
        <w:pStyle w:val="ListParagraph"/>
        <w:numPr>
          <w:ilvl w:val="0"/>
          <w:numId w:val="2"/>
        </w:numPr>
        <w:spacing w:before="60" w:after="60"/>
      </w:pPr>
      <w:r>
        <w:rPr>
          <w:rFonts w:ascii="Arial" w:cs="Arial" w:eastAsia="Arial" w:hAnsi="Arial"/>
          <w:sz w:val="20"/>
          <w:szCs w:val="20"/>
        </w:rPr>
        <w:t xml:space="preserve">Graph selection (1–4)  — Selects which graph to build (mulcor-enus, mulivc-enus, etc.)</w:t>
      </w:r>
    </w:p>
    <w:p>
      <w:pPr>
        <w:spacing w:before="80" w:after="80"/>
      </w:pPr>
      <w:r>
        <w:rPr>
          <w:rFonts w:ascii="Arial" w:cs="Arial" w:eastAsia="Arial" w:hAnsi="Arial"/>
          <w:sz w:val="20"/>
          <w:szCs w:val="20"/>
        </w:rPr>
        <w:t xml:space="preserve">All output appears in output/. Processing a full data set generates approximately 1 GB of output.</w:t>
      </w:r>
    </w:p>
    <w:p>
      <w:pPr>
        <w:spacing w:before="0" w:after="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FFA500" w:sz="4"/>
              <w:left w:val="thick" w:color="FFA500" w:sz="12"/>
              <w:bottom w:val="single" w:color="FFA500" w:sz="4"/>
              <w:right w:val="single" w:color="FFA500" w:sz="4"/>
            </w:tcBorders>
            <w:shd w:fill="FFF3CD" w:val="clear"/>
            <w:tcMar>
              <w:top w:type="dxa" w:w="120"/>
              <w:left w:type="dxa" w:w="180"/>
              <w:bottom w:type="dxa" w:w="120"/>
              <w:right w:type="dxa" w:w="120"/>
            </w:tcMar>
          </w:tcPr>
          <w:p>
            <w:pPr>
              <w:spacing w:before="0" w:after="60"/>
            </w:pPr>
            <w:r>
              <w:rPr>
                <w:rFonts w:ascii="Arial" w:cs="Arial" w:eastAsia="Arial" w:hAnsi="Arial"/>
                <w:b/>
                <w:bCs/>
                <w:color w:val="4D3800"/>
                <w:sz w:val="20"/>
                <w:szCs w:val="20"/>
              </w:rPr>
              <w:t xml:space="preserve">Note on parallel generation</w:t>
            </w:r>
          </w:p>
          <w:p>
            <w:pPr>
              <w:spacing w:before="0" w:after="0"/>
            </w:pPr>
            <w:r>
              <w:rPr>
                <w:rFonts w:ascii="Arial" w:cs="Arial" w:eastAsia="Arial" w:hAnsi="Arial"/>
                <w:color w:val="4D3800"/>
                <w:sz w:val="20"/>
                <w:szCs w:val="20"/>
              </w:rPr>
              <w:t xml:space="preserve">The current design supports one build at a time per metadata environment. Rebuilding the metadata tables while another build is running will corrupt that build. For parallel development, use separate Oracle instances.</w:t>
            </w:r>
          </w:p>
        </w:tc>
      </w:tr>
    </w:tbl>
    <w:p>
      <w:pPr>
        <w:spacing w:before="0" w:after="0"/>
      </w:pPr>
      <w:r>
        <w:t xml:space="preserve"/>
      </w:r>
    </w:p>
    <w:p>
      <w:r>
        <w:br w:type="page"/>
      </w:r>
    </w:p>
    <w:p>
      <w:pPr>
        <w:pStyle w:val="Heading1"/>
        <w:pBdr>
          <w:bottom w:val="single" w:color="2E75B6" w:sz="8" w:space="4"/>
        </w:pBdr>
        <w:spacing w:before="320" w:after="160"/>
      </w:pPr>
      <w:r>
        <w:rPr>
          <w:rFonts w:ascii="Arial" w:cs="Arial" w:eastAsia="Arial" w:hAnsi="Arial"/>
          <w:b/>
          <w:bCs/>
          <w:color w:val="1F4E79"/>
          <w:sz w:val="32"/>
          <w:szCs w:val="32"/>
        </w:rPr>
        <w:t xml:space="preserve">6.  Validation Scripts</w:t>
      </w:r>
    </w:p>
    <w:p>
      <w:pPr>
        <w:spacing w:before="80" w:after="80"/>
      </w:pPr>
      <w:r>
        <w:rPr>
          <w:rFonts w:ascii="Arial" w:cs="Arial" w:eastAsia="Arial" w:hAnsi="Arial"/>
          <w:sz w:val="20"/>
          <w:szCs w:val="20"/>
        </w:rPr>
        <w:t xml:space="preserve">After generation, a suite of validation scripts is run against the output. These live in validate/. They are not yet fully integrated into the automated pipeline and must currently be run manually.</w:t>
      </w:r>
    </w:p>
    <w:p>
      <w:pPr>
        <w:spacing w:before="0" w:after="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c>
          <w:tcPr>
            <w:tcW w:type="dxa" w:w="2400"/>
            <w:tcBorders>
              <w:top w:val="single" w:color="CCCCCC" w:sz="1"/>
              <w:left w:val="single" w:color="CCCCCC" w:sz="1"/>
              <w:bottom w:val="single" w:color="CCCCCC" w:sz="1"/>
              <w:right w:val="single" w:color="CCCCCC" w:sz="1"/>
            </w:tcBorders>
            <w:shd w:fill="1F4E79" w:val="clear"/>
            <w:tcMar>
              <w:top w:type="dxa" w:w="80"/>
              <w:left w:type="dxa" w:w="120"/>
              <w:bottom w:type="dxa" w:w="80"/>
              <w:right w:type="dxa" w:w="120"/>
            </w:tcMar>
          </w:tcPr>
          <w:p>
            <w:r>
              <w:rPr>
                <w:rFonts w:ascii="Arial" w:cs="Arial" w:eastAsia="Arial" w:hAnsi="Arial"/>
                <w:b/>
                <w:bCs/>
                <w:color w:val="FFFFFF"/>
                <w:sz w:val="19"/>
                <w:szCs w:val="19"/>
              </w:rPr>
              <w:t xml:space="preserve">Script</w:t>
            </w:r>
          </w:p>
        </w:tc>
        <w:tc>
          <w:tcPr>
            <w:tcW w:type="dxa" w:w="6960"/>
            <w:tcBorders>
              <w:top w:val="single" w:color="CCCCCC" w:sz="1"/>
              <w:left w:val="single" w:color="CCCCCC" w:sz="1"/>
              <w:bottom w:val="single" w:color="CCCCCC" w:sz="1"/>
              <w:right w:val="single" w:color="CCCCCC" w:sz="1"/>
            </w:tcBorders>
            <w:shd w:fill="1F4E79" w:val="clear"/>
            <w:tcMar>
              <w:top w:type="dxa" w:w="80"/>
              <w:left w:type="dxa" w:w="120"/>
              <w:bottom w:type="dxa" w:w="80"/>
              <w:right w:type="dxa" w:w="120"/>
            </w:tcMar>
          </w:tcPr>
          <w:p>
            <w:r>
              <w:rPr>
                <w:rFonts w:ascii="Arial" w:cs="Arial" w:eastAsia="Arial" w:hAnsi="Arial"/>
                <w:b/>
                <w:bCs/>
                <w:color w:val="FFFFFF"/>
                <w:sz w:val="19"/>
                <w:szCs w:val="19"/>
              </w:rPr>
              <w:t xml:space="preserve">What It Checks</w:t>
            </w:r>
          </w:p>
        </w:tc>
      </w:tr>
      <w:tr>
        <w:tc>
          <w:tcPr>
            <w:tcW w:type="dxa" w:w="2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rdf_syntax.py</w:t>
            </w:r>
          </w:p>
        </w:tc>
        <w:tc>
          <w:tcPr>
            <w:tcW w:type="dxa" w:w="69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Validates TTL/TriG syntax. Catches structural errors that would prevent SKG from loading the file. Checks for common parse failures including malformed statement terminators.</w:t>
            </w:r>
          </w:p>
        </w:tc>
      </w:tr>
      <w:tr>
        <w:tc>
          <w:tcPr>
            <w:tcW w:type="dxa" w:w="240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rdf_iri_format.py</w:t>
            </w:r>
          </w:p>
        </w:tc>
        <w:tc>
          <w:tcPr>
            <w:tcW w:type="dxa" w:w="696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Validates IRI formatting against SKG standards. Key rule: no underscores in IRI local names. Flags other IRI format violations enforced by SKG.</w:t>
            </w:r>
          </w:p>
        </w:tc>
      </w:tr>
      <w:tr>
        <w:tc>
          <w:tcPr>
            <w:tcW w:type="dxa" w:w="2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rdf_detect_duplicates.py</w:t>
            </w:r>
          </w:p>
        </w:tc>
        <w:tc>
          <w:tcPr>
            <w:tcW w:type="dxa" w:w="69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Scans for duplicate subject blocks that were not correctly merged by the consolidation step. Any duplicate here indicates a pipeline defect.</w:t>
            </w:r>
          </w:p>
        </w:tc>
      </w:tr>
      <w:tr>
        <w:tc>
          <w:tcPr>
            <w:tcW w:type="dxa" w:w="240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rdf_dates.py</w:t>
            </w:r>
          </w:p>
        </w:tc>
        <w:tc>
          <w:tcPr>
            <w:tcW w:type="dxa" w:w="696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Scans for datetime values missing the T separator (e.g., '2024-01-16 07:47:57' vs '2024-01-16T07:47:57'). GraphDB accepts both formats; SKG does not. This catches values that will fail silently until SKG load time.</w:t>
            </w:r>
          </w:p>
        </w:tc>
      </w:tr>
      <w:tr>
        <w:tc>
          <w:tcPr>
            <w:tcW w:type="dxa" w:w="2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rdf_counts.py</w:t>
            </w:r>
          </w:p>
        </w:tc>
        <w:tc>
          <w:tcPr>
            <w:tcW w:type="dxa" w:w="69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Compares entity counts per class between the generated file and the source database views. Confirms no data was lost in generation. Currently operates at the table level; row-level comparison is a known enhancement needed.</w:t>
            </w:r>
          </w:p>
        </w:tc>
      </w:tr>
      <w:tr>
        <w:tc>
          <w:tcPr>
            <w:tcW w:type="dxa" w:w="240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rdf_3di_vs_ttl.py</w:t>
            </w:r>
          </w:p>
        </w:tc>
        <w:tc>
          <w:tcPr>
            <w:tcW w:type="dxa" w:w="696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Compares leaflet IDs between the pel_supplemental TTL (input/) and the final consolidated output. Confirms all supplemental IDs made it through the pipeline.</w:t>
            </w:r>
          </w:p>
        </w:tc>
      </w:tr>
      <w:tr>
        <w:tc>
          <w:tcPr>
            <w:tcW w:type="dxa" w:w="2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rdf_3di_vs_db.py</w:t>
            </w:r>
          </w:p>
        </w:tc>
        <w:tc>
          <w:tcPr>
            <w:tcW w:type="dxa" w:w="69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Compares leaflet IDs in the consolidated output against the database view. Confirms the output matches the source of record.</w:t>
            </w:r>
          </w:p>
        </w:tc>
      </w:tr>
      <w:tr>
        <w:tc>
          <w:tcPr>
            <w:tcW w:type="dxa" w:w="240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rdf_class_list.py</w:t>
            </w:r>
          </w:p>
        </w:tc>
        <w:tc>
          <w:tcPr>
            <w:tcW w:type="dxa" w:w="6960"/>
            <w:tcBorders>
              <w:top w:val="single" w:color="CCCCCC" w:sz="1"/>
              <w:left w:val="single" w:color="CCCCCC" w:sz="1"/>
              <w:bottom w:val="single" w:color="CCCCCC" w:sz="1"/>
              <w:right w:val="single" w:color="CCCCCC" w:sz="1"/>
            </w:tcBorders>
            <w:shd w:fill="F2F2F2" w:val="clear"/>
            <w:tcMar>
              <w:top w:type="dxa" w:w="80"/>
              <w:left w:type="dxa" w:w="120"/>
              <w:bottom w:type="dxa" w:w="80"/>
              <w:right w:type="dxa" w:w="120"/>
            </w:tcMar>
          </w:tcPr>
          <w:p>
            <w:r>
              <w:rPr>
                <w:rFonts w:ascii="Arial" w:cs="Arial" w:eastAsia="Arial" w:hAnsi="Arial"/>
                <w:sz w:val="19"/>
                <w:szCs w:val="19"/>
              </w:rPr>
              <w:t xml:space="preserve">Extracts and displays all class names present in the output file. Used for quick visual confirmation that expected classes are present after adding new content areas.</w:t>
            </w:r>
          </w:p>
        </w:tc>
      </w:tr>
      <w:tr>
        <w:tc>
          <w:tcPr>
            <w:tcW w:type="dxa" w:w="2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rdf_consolidation_diff.py</w:t>
            </w:r>
          </w:p>
        </w:tc>
        <w:tc>
          <w:tcPr>
            <w:tcW w:type="dxa" w:w="696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tcPr>
          <w:p>
            <w:r>
              <w:rPr>
                <w:rFonts w:ascii="Arial" w:cs="Arial" w:eastAsia="Arial" w:hAnsi="Arial"/>
                <w:sz w:val="19"/>
                <w:szCs w:val="19"/>
              </w:rPr>
              <w:t xml:space="preserve">Compares the sorted file and the consolidated file to confirm no triples were lost during the consolidation merge step.</w:t>
            </w:r>
          </w:p>
        </w:tc>
      </w:tr>
    </w:tbl>
    <w:p>
      <w:pPr>
        <w:spacing w:before="0" w:after="0"/>
      </w:pPr>
      <w:r>
        <w:t xml:space="preserve"/>
      </w:r>
    </w:p>
    <w:p>
      <w:r>
        <w:br w:type="page"/>
      </w:r>
    </w:p>
    <w:p>
      <w:pPr>
        <w:pStyle w:val="Heading1"/>
        <w:pBdr>
          <w:bottom w:val="single" w:color="2E75B6" w:sz="8" w:space="4"/>
        </w:pBdr>
        <w:spacing w:before="320" w:after="160"/>
      </w:pPr>
      <w:r>
        <w:rPr>
          <w:rFonts w:ascii="Arial" w:cs="Arial" w:eastAsia="Arial" w:hAnsi="Arial"/>
          <w:b/>
          <w:bCs/>
          <w:color w:val="1F4E79"/>
          <w:sz w:val="32"/>
          <w:szCs w:val="32"/>
        </w:rPr>
        <w:t xml:space="preserve">7.  Credential Management</w:t>
      </w:r>
    </w:p>
    <w:p>
      <w:pPr>
        <w:spacing w:before="80" w:after="80"/>
      </w:pPr>
      <w:r>
        <w:rPr>
          <w:rFonts w:ascii="Arial" w:cs="Arial" w:eastAsia="Arial" w:hAnsi="Arial"/>
          <w:sz w:val="20"/>
          <w:szCs w:val="20"/>
        </w:rPr>
        <w:t xml:space="preserve">Oracle connection credentials are managed through an AES-encrypted local vault rather than environment variables or plaintext config files. This was implemented to comply with security scanning requirements that flag exposed credentials in shared environments.</w:t>
      </w:r>
    </w:p>
    <w:p>
      <w:pPr>
        <w:spacing w:before="80" w:after="80"/>
      </w:pPr>
      <w:r>
        <w:rPr>
          <w:rFonts w:ascii="Arial" w:cs="Arial" w:eastAsia="Arial" w:hAnsi="Arial"/>
          <w:sz w:val="20"/>
          <w:szCs w:val="20"/>
        </w:rPr>
        <w:t xml:space="preserve">The vault binary is vault_v2.py. The master password is stored in skg/.env. Connection strings, usernames, and passwords for each Oracle instance are stored in the vault at ~/.secure_vault/vault.enc.</w:t>
      </w:r>
    </w:p>
    <w:p>
      <w:pPr>
        <w:spacing w:before="80" w:after="80"/>
      </w:pPr>
      <w:r>
        <w:rPr>
          <w:rFonts w:ascii="Arial" w:cs="Arial" w:eastAsia="Arial" w:hAnsi="Arial"/>
          <w:sz w:val="20"/>
          <w:szCs w:val="20"/>
        </w:rPr>
        <w:t xml:space="preserve">Setup for a new machine:</w:t>
      </w:r>
    </w:p>
    <w:p>
      <w:pPr>
        <w:pStyle w:val="ListParagraph"/>
        <w:numPr>
          <w:ilvl w:val="0"/>
          <w:numId w:val="2"/>
        </w:numPr>
        <w:spacing w:before="60" w:after="60"/>
      </w:pPr>
      <w:r>
        <w:rPr>
          <w:rFonts w:ascii="Arial" w:cs="Arial" w:eastAsia="Arial" w:hAnsi="Arial"/>
          <w:sz w:val="20"/>
          <w:szCs w:val="20"/>
        </w:rPr>
        <w:t xml:space="preserve">Create the vault:  python vault_v2.py create</w:t>
      </w:r>
    </w:p>
    <w:p>
      <w:pPr>
        <w:pStyle w:val="ListParagraph"/>
        <w:numPr>
          <w:ilvl w:val="0"/>
          <w:numId w:val="2"/>
        </w:numPr>
        <w:spacing w:before="60" w:after="60"/>
      </w:pPr>
      <w:r>
        <w:rPr>
          <w:rFonts w:ascii="Arial" w:cs="Arial" w:eastAsia="Arial" w:hAnsi="Arial"/>
          <w:sz w:val="20"/>
          <w:szCs w:val="20"/>
        </w:rPr>
        <w:t xml:space="preserve">Store credentials per database instance:  python vault_v2.py store &lt;SERVICE_NAME&gt; &lt;USERNAME&gt;</w:t>
      </w:r>
    </w:p>
    <w:p>
      <w:pPr>
        <w:pStyle w:val="ListParagraph"/>
        <w:numPr>
          <w:ilvl w:val="0"/>
          <w:numId w:val="2"/>
        </w:numPr>
        <w:spacing w:before="60" w:after="60"/>
      </w:pPr>
      <w:r>
        <w:rPr>
          <w:rFonts w:ascii="Arial" w:cs="Arial" w:eastAsia="Arial" w:hAnsi="Arial"/>
          <w:sz w:val="20"/>
          <w:szCs w:val="20"/>
        </w:rPr>
        <w:t xml:space="preserve">Verify:  python vault_v2.py --vault-path ".../.secure_vault/vault.enc" list</w:t>
      </w:r>
    </w:p>
    <w:p>
      <w:pPr>
        <w:spacing w:before="80" w:after="80"/>
      </w:pPr>
      <w:r>
        <w:rPr>
          <w:rFonts w:ascii="Arial" w:cs="Arial" w:eastAsia="Arial" w:hAnsi="Arial"/>
          <w:sz w:val="20"/>
          <w:szCs w:val="20"/>
        </w:rPr>
        <w:t xml:space="preserve">The pipeline scripts load credentials via python-dotenv, pointing explicitly to skg/.env. Never commit .env or vault.enc to source control.</w:t>
      </w:r>
    </w:p>
    <w:p>
      <w:pPr>
        <w:spacing w:before="0" w:after="0"/>
      </w:pPr>
      <w:r>
        <w:t xml:space="preserve"/>
      </w:r>
    </w:p>
    <w:p>
      <w:r>
        <w:br w:type="page"/>
      </w:r>
    </w:p>
    <w:p>
      <w:pPr>
        <w:pStyle w:val="Heading1"/>
        <w:pBdr>
          <w:bottom w:val="single" w:color="2E75B6" w:sz="8" w:space="4"/>
        </w:pBdr>
        <w:spacing w:before="320" w:after="160"/>
      </w:pPr>
      <w:r>
        <w:rPr>
          <w:rFonts w:ascii="Arial" w:cs="Arial" w:eastAsia="Arial" w:hAnsi="Arial"/>
          <w:b/>
          <w:bCs/>
          <w:color w:val="1F4E79"/>
          <w:sz w:val="32"/>
          <w:szCs w:val="32"/>
        </w:rPr>
        <w:t xml:space="preserve">8.  Delivery and Downstream Consumers</w:t>
      </w:r>
    </w:p>
    <w:p>
      <w:pPr>
        <w:pStyle w:val="Heading2"/>
        <w:spacing w:before="240" w:after="120"/>
      </w:pPr>
      <w:r>
        <w:rPr>
          <w:rFonts w:ascii="Arial" w:cs="Arial" w:eastAsia="Arial" w:hAnsi="Arial"/>
          <w:b/>
          <w:bCs/>
          <w:color w:val="2E75B6"/>
          <w:sz w:val="26"/>
          <w:szCs w:val="26"/>
        </w:rPr>
        <w:t xml:space="preserve">8.1  File Naming Convention</w:t>
      </w:r>
    </w:p>
    <w:p>
      <w:pPr>
        <w:spacing w:before="80" w:after="80"/>
      </w:pPr>
      <w:r>
        <w:rPr>
          <w:rFonts w:ascii="Arial" w:cs="Arial" w:eastAsia="Arial" w:hAnsi="Arial"/>
          <w:sz w:val="20"/>
          <w:szCs w:val="20"/>
        </w:rPr>
        <w:t xml:space="preserve">Delivered files follow this naming pattern:</w:t>
      </w:r>
    </w:p>
    <w:p>
      <w:pPr>
        <w:spacing w:before="60" w:after="60"/>
        <w:ind w:left="360"/>
      </w:pPr>
      <w:r>
        <w:rPr>
          <w:rFonts w:ascii="Courier New" w:cs="Courier New" w:eastAsia="Courier New" w:hAnsi="Courier New"/>
          <w:color w:val="1A1A1A"/>
          <w:sz w:val="18"/>
          <w:szCs w:val="18"/>
          <w:shd w:fill="F2F2F2" w:val="clear"/>
        </w:rPr>
        <w:t xml:space="preserve">MULCOR_ENUS_20250415_76-1.trig</w:t>
      </w:r>
    </w:p>
    <w:p>
      <w:pPr>
        <w:spacing w:before="80" w:after="80"/>
      </w:pPr>
      <w:r>
        <w:rPr>
          <w:rFonts w:ascii="Arial" w:cs="Arial" w:eastAsia="Arial" w:hAnsi="Arial"/>
          <w:sz w:val="20"/>
          <w:szCs w:val="20"/>
        </w:rPr>
        <w:t xml:space="preserve">The components are: graph name (uppercase, underscores) – culture – CDR release date – release version – minor version. Note: the graph name inside the file uses lowercase with dashes. This inconsistency is a SKG convention, not something we control.</w:t>
      </w:r>
    </w:p>
    <w:p>
      <w:pPr>
        <w:spacing w:before="0" w:after="0"/>
      </w:pPr>
      <w:r>
        <w:t xml:space="preserve"/>
      </w:r>
    </w:p>
    <w:p>
      <w:pPr>
        <w:pStyle w:val="Heading2"/>
        <w:spacing w:before="240" w:after="120"/>
      </w:pPr>
      <w:r>
        <w:rPr>
          <w:rFonts w:ascii="Arial" w:cs="Arial" w:eastAsia="Arial" w:hAnsi="Arial"/>
          <w:b/>
          <w:bCs/>
          <w:color w:val="2E75B6"/>
          <w:sz w:val="26"/>
          <w:szCs w:val="26"/>
        </w:rPr>
        <w:t xml:space="preserve">8.2  Delivery Process</w:t>
      </w:r>
    </w:p>
    <w:p>
      <w:pPr>
        <w:spacing w:before="80" w:after="80"/>
      </w:pPr>
      <w:r>
        <w:rPr>
          <w:rFonts w:ascii="Arial" w:cs="Arial" w:eastAsia="Arial" w:hAnsi="Arial"/>
          <w:sz w:val="20"/>
          <w:szCs w:val="20"/>
        </w:rPr>
        <w:t xml:space="preserve">After the pipeline completes and validation passes:</w:t>
      </w:r>
    </w:p>
    <w:p>
      <w:pPr>
        <w:pStyle w:val="ListParagraph"/>
        <w:numPr>
          <w:ilvl w:val="0"/>
          <w:numId w:val="2"/>
        </w:numPr>
        <w:spacing w:before="60" w:after="60"/>
      </w:pPr>
      <w:r>
        <w:rPr>
          <w:rFonts w:ascii="Arial" w:cs="Arial" w:eastAsia="Arial" w:hAnsi="Arial"/>
          <w:sz w:val="20"/>
          <w:szCs w:val="20"/>
        </w:rPr>
        <w:t xml:space="preserve">The consolidated .trig file is sent to Drew's team for local validation using GraphDB Desktop.</w:t>
      </w:r>
    </w:p>
    <w:p>
      <w:pPr>
        <w:pStyle w:val="ListParagraph"/>
        <w:numPr>
          <w:ilvl w:val="0"/>
          <w:numId w:val="2"/>
        </w:numPr>
        <w:spacing w:before="60" w:after="60"/>
      </w:pPr>
      <w:r>
        <w:rPr>
          <w:rFonts w:ascii="Arial" w:cs="Arial" w:eastAsia="Arial" w:hAnsi="Arial"/>
          <w:sz w:val="20"/>
          <w:szCs w:val="20"/>
        </w:rPr>
        <w:t xml:space="preserve">Drew's team loads it into their local GraphDB instance and tests API queries against it.</w:t>
      </w:r>
    </w:p>
    <w:p>
      <w:pPr>
        <w:pStyle w:val="ListParagraph"/>
        <w:numPr>
          <w:ilvl w:val="0"/>
          <w:numId w:val="2"/>
        </w:numPr>
        <w:spacing w:before="60" w:after="60"/>
      </w:pPr>
      <w:r>
        <w:rPr>
          <w:rFonts w:ascii="Arial" w:cs="Arial" w:eastAsia="Arial" w:hAnsi="Arial"/>
          <w:sz w:val="20"/>
          <w:szCs w:val="20"/>
        </w:rPr>
        <w:t xml:space="preserve">Once approved, the file is uploaded to SKG Lite (Oracle-hosted test environment) where it can be accessed by multiple teams via shared endpoint.</w:t>
      </w:r>
    </w:p>
    <w:p>
      <w:pPr>
        <w:pStyle w:val="ListParagraph"/>
        <w:numPr>
          <w:ilvl w:val="0"/>
          <w:numId w:val="2"/>
        </w:numPr>
        <w:spacing w:before="60" w:after="60"/>
      </w:pPr>
      <w:r>
        <w:rPr>
          <w:rFonts w:ascii="Arial" w:cs="Arial" w:eastAsia="Arial" w:hAnsi="Arial"/>
          <w:sz w:val="20"/>
          <w:szCs w:val="20"/>
        </w:rPr>
        <w:t xml:space="preserve">Final promotion to SKG production requires SKG team review and approval.</w:t>
      </w:r>
    </w:p>
    <w:p>
      <w:pPr>
        <w:spacing w:before="80" w:after="80"/>
      </w:pPr>
      <w:r>
        <w:rPr>
          <w:rFonts w:ascii="Arial" w:cs="Arial" w:eastAsia="Arial" w:hAnsi="Arial"/>
          <w:sz w:val="20"/>
          <w:szCs w:val="20"/>
        </w:rPr>
        <w:t xml:space="preserve">GraphDB Desktop is the recommended tool for local inspection and SPARQL query development. Download it separately and load .trig files directly into a local repository.</w:t>
      </w:r>
    </w:p>
    <w:p>
      <w:pPr>
        <w:spacing w:before="0" w:after="0"/>
      </w:pPr>
      <w:r>
        <w:t xml:space="preserve"/>
      </w:r>
    </w:p>
    <w:p>
      <w:pPr>
        <w:pStyle w:val="Heading2"/>
        <w:spacing w:before="240" w:after="120"/>
      </w:pPr>
      <w:r>
        <w:rPr>
          <w:rFonts w:ascii="Arial" w:cs="Arial" w:eastAsia="Arial" w:hAnsi="Arial"/>
          <w:b/>
          <w:bCs/>
          <w:color w:val="2E75B6"/>
          <w:sz w:val="26"/>
          <w:szCs w:val="26"/>
        </w:rPr>
        <w:t xml:space="preserve">8.3  Supplemental Files</w:t>
      </w:r>
    </w:p>
    <w:p>
      <w:pPr>
        <w:spacing w:before="80" w:after="80"/>
      </w:pPr>
      <w:r>
        <w:rPr>
          <w:rFonts w:ascii="Arial" w:cs="Arial" w:eastAsia="Arial" w:hAnsi="Arial"/>
          <w:sz w:val="20"/>
          <w:szCs w:val="20"/>
        </w:rPr>
        <w:t xml:space="preserve">The Pell supplemental file is provided by the SKG team (currently Pujan and Key). Key uploads patient education leaflet PDFs to SKG and receives back file identifiers. These identifiers are assembled into a TTL file (pel_supplemental_*.ttl) and placed in input/. The pipeline appends this file before sorting so the leaflet IRIs appear in the final output graph.</w:t>
      </w:r>
    </w:p>
    <w:p>
      <w:pPr>
        <w:spacing w:before="0" w:after="0"/>
      </w:pPr>
      <w:r>
        <w:t xml:space="preserve"/>
      </w:r>
    </w:p>
    <w:p>
      <w:r>
        <w:br w:type="page"/>
      </w:r>
    </w:p>
    <w:p>
      <w:pPr>
        <w:pStyle w:val="Heading1"/>
        <w:pBdr>
          <w:bottom w:val="single" w:color="2E75B6" w:sz="8" w:space="4"/>
        </w:pBdr>
        <w:spacing w:before="320" w:after="160"/>
      </w:pPr>
      <w:r>
        <w:rPr>
          <w:rFonts w:ascii="Arial" w:cs="Arial" w:eastAsia="Arial" w:hAnsi="Arial"/>
          <w:b/>
          <w:bCs/>
          <w:color w:val="1F4E79"/>
          <w:sz w:val="32"/>
          <w:szCs w:val="32"/>
        </w:rPr>
        <w:t xml:space="preserve">9.  Known Technical Debt and Planned Work</w:t>
      </w:r>
    </w:p>
    <w:p>
      <w:pPr>
        <w:spacing w:before="80" w:after="80"/>
      </w:pPr>
      <w:r>
        <w:rPr>
          <w:rFonts w:ascii="Arial" w:cs="Arial" w:eastAsia="Arial" w:hAnsi="Arial"/>
          <w:sz w:val="20"/>
          <w:szCs w:val="20"/>
        </w:rPr>
        <w:t xml:space="preserve">This system was built under significant time pressure. The following items are known deficiencies and are candidates for Version 2 work. Do not treat the current implementation as a target design.</w:t>
      </w:r>
    </w:p>
    <w:p>
      <w:pPr>
        <w:spacing w:before="0" w:after="0"/>
      </w:pPr>
      <w:r>
        <w:t xml:space="preserve"/>
      </w:r>
    </w:p>
    <w:p>
      <w:pPr>
        <w:pStyle w:val="Heading2"/>
        <w:spacing w:before="240" w:after="120"/>
      </w:pPr>
      <w:r>
        <w:rPr>
          <w:rFonts w:ascii="Arial" w:cs="Arial" w:eastAsia="Arial" w:hAnsi="Arial"/>
          <w:b/>
          <w:bCs/>
          <w:color w:val="2E75B6"/>
          <w:sz w:val="26"/>
          <w:szCs w:val="26"/>
        </w:rPr>
        <w:t xml:space="preserve">9.1  Immediate Gaps</w:t>
      </w:r>
    </w:p>
    <w:p>
      <w:pPr>
        <w:pStyle w:val="ListParagraph"/>
        <w:numPr>
          <w:ilvl w:val="0"/>
          <w:numId w:val="2"/>
        </w:numPr>
        <w:spacing w:before="60" w:after="60"/>
      </w:pPr>
      <w:r>
        <w:rPr>
          <w:rFonts w:ascii="Arial" w:cs="Arial" w:eastAsia="Arial" w:hAnsi="Arial"/>
          <w:sz w:val="20"/>
          <w:szCs w:val="20"/>
        </w:rPr>
        <w:t xml:space="preserve">Validation scripts are not integrated into the pipeline. They must be run manually after generation.</w:t>
      </w:r>
    </w:p>
    <w:p>
      <w:pPr>
        <w:pStyle w:val="ListParagraph"/>
        <w:numPr>
          <w:ilvl w:val="0"/>
          <w:numId w:val="2"/>
        </w:numPr>
        <w:spacing w:before="60" w:after="60"/>
      </w:pPr>
      <w:r>
        <w:rPr>
          <w:rFonts w:ascii="Arial" w:cs="Arial" w:eastAsia="Arial" w:hAnsi="Arial"/>
          <w:sz w:val="20"/>
          <w:szCs w:val="20"/>
        </w:rPr>
        <w:t xml:space="preserve">Row-level count validation is not implemented. rdf_counts.py compares at the table level only.</w:t>
      </w:r>
    </w:p>
    <w:p>
      <w:pPr>
        <w:pStyle w:val="ListParagraph"/>
        <w:numPr>
          <w:ilvl w:val="0"/>
          <w:numId w:val="2"/>
        </w:numPr>
        <w:spacing w:before="60" w:after="60"/>
      </w:pPr>
      <w:r>
        <w:rPr>
          <w:rFonts w:ascii="Arial" w:cs="Arial" w:eastAsia="Arial" w:hAnsi="Arial"/>
          <w:sz w:val="20"/>
          <w:szCs w:val="20"/>
        </w:rPr>
        <w:t xml:space="preserve">Country and version filtering exists in the data model but is not yet activated. The pipeline currently builds against a single dataset.</w:t>
      </w:r>
    </w:p>
    <w:p>
      <w:pPr>
        <w:pStyle w:val="ListParagraph"/>
        <w:numPr>
          <w:ilvl w:val="0"/>
          <w:numId w:val="2"/>
        </w:numPr>
        <w:spacing w:before="60" w:after="60"/>
      </w:pPr>
      <w:r>
        <w:rPr>
          <w:rFonts w:ascii="Arial" w:cs="Arial" w:eastAsia="Arial" w:hAnsi="Arial"/>
          <w:sz w:val="20"/>
          <w:szCs w:val="20"/>
        </w:rPr>
        <w:t xml:space="preserve">Performance tables are rebuilt via a manual SQL script. This should be integrated into the pipeline orchestrator.</w:t>
      </w:r>
    </w:p>
    <w:p>
      <w:pPr>
        <w:pStyle w:val="ListParagraph"/>
        <w:numPr>
          <w:ilvl w:val="0"/>
          <w:numId w:val="2"/>
        </w:numPr>
        <w:spacing w:before="60" w:after="60"/>
      </w:pPr>
      <w:r>
        <w:rPr>
          <w:rFonts w:ascii="Arial" w:cs="Arial" w:eastAsia="Arial" w:hAnsi="Arial"/>
          <w:sz w:val="20"/>
          <w:szCs w:val="20"/>
        </w:rPr>
        <w:t xml:space="preserve">The metadata table prefix (R2RML) is a legacy artifact and needs to be renamed to RDF throughout.</w:t>
      </w:r>
    </w:p>
    <w:p>
      <w:pPr>
        <w:spacing w:before="0" w:after="0"/>
      </w:pPr>
      <w:r>
        <w:t xml:space="preserve"/>
      </w:r>
    </w:p>
    <w:p>
      <w:pPr>
        <w:pStyle w:val="Heading2"/>
        <w:spacing w:before="240" w:after="120"/>
      </w:pPr>
      <w:r>
        <w:rPr>
          <w:rFonts w:ascii="Arial" w:cs="Arial" w:eastAsia="Arial" w:hAnsi="Arial"/>
          <w:b/>
          <w:bCs/>
          <w:color w:val="2E75B6"/>
          <w:sz w:val="26"/>
          <w:szCs w:val="26"/>
        </w:rPr>
        <w:t xml:space="preserve">9.2  Version 2 Scope (Planned)</w:t>
      </w:r>
    </w:p>
    <w:p>
      <w:pPr>
        <w:pStyle w:val="ListParagraph"/>
        <w:numPr>
          <w:ilvl w:val="0"/>
          <w:numId w:val="2"/>
        </w:numPr>
        <w:spacing w:before="60" w:after="60"/>
      </w:pPr>
      <w:r>
        <w:rPr>
          <w:rFonts w:ascii="Arial" w:cs="Arial" w:eastAsia="Arial" w:hAnsi="Arial"/>
          <w:sz w:val="20"/>
          <w:szCs w:val="20"/>
        </w:rPr>
        <w:t xml:space="preserve">Eliminate technical debt and document the full system.</w:t>
      </w:r>
    </w:p>
    <w:p>
      <w:pPr>
        <w:pStyle w:val="ListParagraph"/>
        <w:numPr>
          <w:ilvl w:val="0"/>
          <w:numId w:val="2"/>
        </w:numPr>
        <w:spacing w:before="60" w:after="60"/>
      </w:pPr>
      <w:r>
        <w:rPr>
          <w:rFonts w:ascii="Arial" w:cs="Arial" w:eastAsia="Arial" w:hAnsi="Arial"/>
          <w:sz w:val="20"/>
          <w:szCs w:val="20"/>
        </w:rPr>
        <w:t xml:space="preserve">Automate all steps end-to-end including view deployment, table rebuilds, generation, validation, and delivery.</w:t>
      </w:r>
    </w:p>
    <w:p>
      <w:pPr>
        <w:pStyle w:val="ListParagraph"/>
        <w:numPr>
          <w:ilvl w:val="0"/>
          <w:numId w:val="2"/>
        </w:numPr>
        <w:spacing w:before="60" w:after="60"/>
      </w:pPr>
      <w:r>
        <w:rPr>
          <w:rFonts w:ascii="Arial" w:cs="Arial" w:eastAsia="Arial" w:hAnsi="Arial"/>
          <w:sz w:val="20"/>
          <w:szCs w:val="20"/>
        </w:rPr>
        <w:t xml:space="preserve">Integrate via APIs into the broader Oracle Health platform (architectural decisions pending).</w:t>
      </w:r>
    </w:p>
    <w:p>
      <w:pPr>
        <w:pStyle w:val="ListParagraph"/>
        <w:numPr>
          <w:ilvl w:val="0"/>
          <w:numId w:val="2"/>
        </w:numPr>
        <w:spacing w:before="60" w:after="60"/>
      </w:pPr>
      <w:r>
        <w:rPr>
          <w:rFonts w:ascii="Arial" w:cs="Arial" w:eastAsia="Arial" w:hAnsi="Arial"/>
          <w:sz w:val="20"/>
          <w:szCs w:val="20"/>
        </w:rPr>
        <w:t xml:space="preserve">Evaluate publishing underlying tables directly to SKG rather than through views (open architectural question — has significant implications for the current design).</w:t>
      </w:r>
    </w:p>
    <w:p>
      <w:pPr>
        <w:pStyle w:val="ListParagraph"/>
        <w:numPr>
          <w:ilvl w:val="0"/>
          <w:numId w:val="2"/>
        </w:numPr>
        <w:spacing w:before="60" w:after="60"/>
      </w:pPr>
      <w:r>
        <w:rPr>
          <w:rFonts w:ascii="Arial" w:cs="Arial" w:eastAsia="Arial" w:hAnsi="Arial"/>
          <w:sz w:val="20"/>
          <w:szCs w:val="20"/>
        </w:rPr>
        <w:t xml:space="preserve">Implement parallel generation support for multiple cultures and graphs simultaneously.</w:t>
      </w:r>
    </w:p>
    <w:p>
      <w:pPr>
        <w:pStyle w:val="ListParagraph"/>
        <w:numPr>
          <w:ilvl w:val="0"/>
          <w:numId w:val="2"/>
        </w:numPr>
        <w:spacing w:before="60" w:after="60"/>
      </w:pPr>
      <w:r>
        <w:rPr>
          <w:rFonts w:ascii="Arial" w:cs="Arial" w:eastAsia="Arial" w:hAnsi="Arial"/>
          <w:sz w:val="20"/>
          <w:szCs w:val="20"/>
        </w:rPr>
        <w:t xml:space="preserve">Fully activate country/version filtering.</w:t>
      </w:r>
    </w:p>
    <w:p>
      <w:pPr>
        <w:spacing w:before="0" w:after="0"/>
      </w:pPr>
      <w:r>
        <w:t xml:space="preserve"/>
      </w:r>
    </w:p>
    <w:p>
      <w:pPr>
        <w:pStyle w:val="Heading2"/>
        <w:spacing w:before="240" w:after="120"/>
      </w:pPr>
      <w:r>
        <w:rPr>
          <w:rFonts w:ascii="Arial" w:cs="Arial" w:eastAsia="Arial" w:hAnsi="Arial"/>
          <w:b/>
          <w:bCs/>
          <w:color w:val="2E75B6"/>
          <w:sz w:val="26"/>
          <w:szCs w:val="26"/>
        </w:rPr>
        <w:t xml:space="preserve">9.3  Design Constraints to Be Aware Of</w:t>
      </w:r>
    </w:p>
    <w:p>
      <w:pPr>
        <w:spacing w:before="80" w:after="80"/>
      </w:pPr>
      <w:r>
        <w:rPr>
          <w:rFonts w:ascii="Arial" w:cs="Arial" w:eastAsia="Arial" w:hAnsi="Arial"/>
          <w:sz w:val="20"/>
          <w:szCs w:val="20"/>
        </w:rPr>
        <w:t xml:space="preserve">Before changing anything architectural, understand these constraints:</w:t>
      </w:r>
    </w:p>
    <w:p>
      <w:pPr>
        <w:pStyle w:val="ListParagraph"/>
        <w:numPr>
          <w:ilvl w:val="0"/>
          <w:numId w:val="2"/>
        </w:numPr>
        <w:spacing w:before="60" w:after="60"/>
      </w:pPr>
      <w:r>
        <w:rPr>
          <w:rFonts w:ascii="Arial" w:cs="Arial" w:eastAsia="Arial" w:hAnsi="Arial"/>
          <w:sz w:val="20"/>
          <w:szCs w:val="20"/>
        </w:rPr>
        <w:t xml:space="preserve">RDF triple format and file size interact strongly. Every shortcut in this pipeline (prefixes, performance tables, the sort/consolidate two-pass approach) exists to manage file size or generation speed at the 1 GB+ scale.</w:t>
      </w:r>
    </w:p>
    <w:p>
      <w:pPr>
        <w:pStyle w:val="ListParagraph"/>
        <w:numPr>
          <w:ilvl w:val="0"/>
          <w:numId w:val="2"/>
        </w:numPr>
        <w:spacing w:before="60" w:after="60"/>
      </w:pPr>
      <w:r>
        <w:rPr>
          <w:rFonts w:ascii="Arial" w:cs="Arial" w:eastAsia="Arial" w:hAnsi="Arial"/>
          <w:sz w:val="20"/>
          <w:szCs w:val="20"/>
        </w:rPr>
        <w:t xml:space="preserve">SKG file loads are all-or-nothing at the graph level. Any partial-file strategy requires SPARQL direct access.</w:t>
      </w:r>
    </w:p>
    <w:p>
      <w:pPr>
        <w:pStyle w:val="ListParagraph"/>
        <w:numPr>
          <w:ilvl w:val="0"/>
          <w:numId w:val="2"/>
        </w:numPr>
        <w:spacing w:before="60" w:after="60"/>
      </w:pPr>
      <w:r>
        <w:rPr>
          <w:rFonts w:ascii="Arial" w:cs="Arial" w:eastAsia="Arial" w:hAnsi="Arial"/>
          <w:sz w:val="20"/>
          <w:szCs w:val="20"/>
        </w:rPr>
        <w:t xml:space="preserve">The metadata-driven approach (UTIL_GRF_R2RML_COLUMN) was a deliberate architectural choice to keep the Python scripts generic and data-driven. Changes to the schema are made in the metadata table, not in Python.</w:t>
      </w:r>
    </w:p>
    <w:p>
      <w:pPr>
        <w:pStyle w:val="ListParagraph"/>
        <w:numPr>
          <w:ilvl w:val="0"/>
          <w:numId w:val="2"/>
        </w:numPr>
        <w:spacing w:before="60" w:after="60"/>
      </w:pPr>
      <w:r>
        <w:rPr>
          <w:rFonts w:ascii="Arial" w:cs="Arial" w:eastAsia="Arial" w:hAnsi="Arial"/>
          <w:sz w:val="20"/>
          <w:szCs w:val="20"/>
        </w:rPr>
        <w:t xml:space="preserve">Composite primary keys exist in the underlying data. These are pre-assembled in the database via a function (FN_BUILD_KEY). Python never constructs composite IRIs.</w:t>
      </w:r>
    </w:p>
    <w:p>
      <w:pPr>
        <w:spacing w:before="0" w:after="0"/>
      </w:pPr>
      <w:r>
        <w:t xml:space="preserve"/>
      </w:r>
    </w:p>
    <w:p>
      <w:r>
        <w:br w:type="page"/>
      </w:r>
    </w:p>
    <w:p>
      <w:pPr>
        <w:pStyle w:val="Heading1"/>
        <w:pBdr>
          <w:bottom w:val="single" w:color="2E75B6" w:sz="8" w:space="4"/>
        </w:pBdr>
        <w:spacing w:before="320" w:after="160"/>
      </w:pPr>
      <w:r>
        <w:rPr>
          <w:rFonts w:ascii="Arial" w:cs="Arial" w:eastAsia="Arial" w:hAnsi="Arial"/>
          <w:b/>
          <w:bCs/>
          <w:color w:val="1F4E79"/>
          <w:sz w:val="32"/>
          <w:szCs w:val="32"/>
        </w:rPr>
        <w:t xml:space="preserve">10.  Getting Started Checklist</w:t>
      </w:r>
    </w:p>
    <w:p>
      <w:pPr>
        <w:spacing w:before="80" w:after="80"/>
      </w:pPr>
      <w:r>
        <w:rPr>
          <w:rFonts w:ascii="Arial" w:cs="Arial" w:eastAsia="Arial" w:hAnsi="Arial"/>
          <w:sz w:val="20"/>
          <w:szCs w:val="20"/>
        </w:rPr>
        <w:t xml:space="preserve">Before your first pipeline run, complete the following:</w:t>
      </w:r>
    </w:p>
    <w:p>
      <w:pPr>
        <w:spacing w:before="0" w:after="0"/>
      </w:pPr>
      <w:r>
        <w:t xml:space="preserve"/>
      </w:r>
    </w:p>
    <w:p>
      <w:pPr>
        <w:pStyle w:val="Heading2"/>
        <w:spacing w:before="240" w:after="120"/>
      </w:pPr>
      <w:r>
        <w:rPr>
          <w:rFonts w:ascii="Arial" w:cs="Arial" w:eastAsia="Arial" w:hAnsi="Arial"/>
          <w:b/>
          <w:bCs/>
          <w:color w:val="2E75B6"/>
          <w:sz w:val="26"/>
          <w:szCs w:val="26"/>
        </w:rPr>
        <w:t xml:space="preserve">Self-Study</w:t>
      </w:r>
    </w:p>
    <w:p>
      <w:pPr>
        <w:pStyle w:val="ListParagraph"/>
        <w:numPr>
          <w:ilvl w:val="0"/>
          <w:numId w:val="2"/>
        </w:numPr>
        <w:spacing w:before="60" w:after="60"/>
      </w:pPr>
      <w:r>
        <w:rPr>
          <w:rFonts w:ascii="Arial" w:cs="Arial" w:eastAsia="Arial" w:hAnsi="Arial"/>
          <w:sz w:val="20"/>
          <w:szCs w:val="20"/>
        </w:rPr>
        <w:t xml:space="preserve">Read the W3C RDF Primer and understand subject/predicate/object structure</w:t>
      </w:r>
    </w:p>
    <w:p>
      <w:pPr>
        <w:pStyle w:val="ListParagraph"/>
        <w:numPr>
          <w:ilvl w:val="0"/>
          <w:numId w:val="2"/>
        </w:numPr>
        <w:spacing w:before="60" w:after="60"/>
      </w:pPr>
      <w:r>
        <w:rPr>
          <w:rFonts w:ascii="Arial" w:cs="Arial" w:eastAsia="Arial" w:hAnsi="Arial"/>
          <w:sz w:val="20"/>
          <w:szCs w:val="20"/>
        </w:rPr>
        <w:t xml:space="preserve">Read the Turtle (TTL) spec or a good tutorial — understand prefixes, literals, IRIs, and shorthand notation</w:t>
      </w:r>
    </w:p>
    <w:p>
      <w:pPr>
        <w:pStyle w:val="ListParagraph"/>
        <w:numPr>
          <w:ilvl w:val="0"/>
          <w:numId w:val="2"/>
        </w:numPr>
        <w:spacing w:before="60" w:after="60"/>
      </w:pPr>
      <w:r>
        <w:rPr>
          <w:rFonts w:ascii="Arial" w:cs="Arial" w:eastAsia="Arial" w:hAnsi="Arial"/>
          <w:sz w:val="20"/>
          <w:szCs w:val="20"/>
        </w:rPr>
        <w:t xml:space="preserve">Read the TriG spec — it is a short read, essentially just TTL + graph name wrapper</w:t>
      </w:r>
    </w:p>
    <w:p>
      <w:pPr>
        <w:pStyle w:val="ListParagraph"/>
        <w:numPr>
          <w:ilvl w:val="0"/>
          <w:numId w:val="2"/>
        </w:numPr>
        <w:spacing w:before="60" w:after="60"/>
      </w:pPr>
      <w:r>
        <w:rPr>
          <w:rFonts w:ascii="Arial" w:cs="Arial" w:eastAsia="Arial" w:hAnsi="Arial"/>
          <w:sz w:val="20"/>
          <w:szCs w:val="20"/>
        </w:rPr>
        <w:t xml:space="preserve">Read the SPARQL tutorial — understand SELECT, CONSTRUCT, and UPDATE queries</w:t>
      </w:r>
    </w:p>
    <w:p>
      <w:pPr>
        <w:pStyle w:val="ListParagraph"/>
        <w:numPr>
          <w:ilvl w:val="0"/>
          <w:numId w:val="2"/>
        </w:numPr>
        <w:spacing w:before="60" w:after="60"/>
      </w:pPr>
      <w:r>
        <w:rPr>
          <w:rFonts w:ascii="Arial" w:cs="Arial" w:eastAsia="Arial" w:hAnsi="Arial"/>
          <w:sz w:val="20"/>
          <w:szCs w:val="20"/>
        </w:rPr>
        <w:t xml:space="preserve">Read the OWL primer — focus on owl:Class, owl:ObjectProperty, owl:DatatypeProperty</w:t>
      </w:r>
    </w:p>
    <w:p>
      <w:pPr>
        <w:pStyle w:val="ListParagraph"/>
        <w:numPr>
          <w:ilvl w:val="0"/>
          <w:numId w:val="2"/>
        </w:numPr>
        <w:spacing w:before="60" w:after="60"/>
      </w:pPr>
      <w:r>
        <w:rPr>
          <w:rFonts w:ascii="Arial" w:cs="Arial" w:eastAsia="Arial" w:hAnsi="Arial"/>
          <w:sz w:val="20"/>
          <w:szCs w:val="20"/>
        </w:rPr>
        <w:t xml:space="preserve">Download GraphDB Desktop and load one of the existing .trig files</w:t>
      </w:r>
    </w:p>
    <w:p>
      <w:pPr>
        <w:spacing w:before="0" w:after="0"/>
      </w:pPr>
      <w:r>
        <w:t xml:space="preserve"/>
      </w:r>
    </w:p>
    <w:p>
      <w:pPr>
        <w:pStyle w:val="Heading2"/>
        <w:spacing w:before="240" w:after="120"/>
      </w:pPr>
      <w:r>
        <w:rPr>
          <w:rFonts w:ascii="Arial" w:cs="Arial" w:eastAsia="Arial" w:hAnsi="Arial"/>
          <w:b/>
          <w:bCs/>
          <w:color w:val="2E75B6"/>
          <w:sz w:val="26"/>
          <w:szCs w:val="26"/>
        </w:rPr>
        <w:t xml:space="preserve">Environment Setup</w:t>
      </w:r>
    </w:p>
    <w:p>
      <w:pPr>
        <w:pStyle w:val="ListParagraph"/>
        <w:numPr>
          <w:ilvl w:val="0"/>
          <w:numId w:val="2"/>
        </w:numPr>
        <w:spacing w:before="60" w:after="60"/>
      </w:pPr>
      <w:r>
        <w:rPr>
          <w:rFonts w:ascii="Arial" w:cs="Arial" w:eastAsia="Arial" w:hAnsi="Arial"/>
          <w:sz w:val="20"/>
          <w:szCs w:val="20"/>
        </w:rPr>
        <w:t xml:space="preserve">Get Oracle Instant Client installed and configured (path: C:\Oracle\instant_client\instantclient_23_8)</w:t>
      </w:r>
    </w:p>
    <w:p>
      <w:pPr>
        <w:pStyle w:val="ListParagraph"/>
        <w:numPr>
          <w:ilvl w:val="0"/>
          <w:numId w:val="2"/>
        </w:numPr>
        <w:spacing w:before="60" w:after="60"/>
      </w:pPr>
      <w:r>
        <w:rPr>
          <w:rFonts w:ascii="Arial" w:cs="Arial" w:eastAsia="Arial" w:hAnsi="Arial"/>
          <w:sz w:val="20"/>
          <w:szCs w:val="20"/>
        </w:rPr>
        <w:t xml:space="preserve">Get access credentials for the development Oracle instance from Michael</w:t>
      </w:r>
    </w:p>
    <w:p>
      <w:pPr>
        <w:pStyle w:val="ListParagraph"/>
        <w:numPr>
          <w:ilvl w:val="0"/>
          <w:numId w:val="2"/>
        </w:numPr>
        <w:spacing w:before="60" w:after="60"/>
      </w:pPr>
      <w:r>
        <w:rPr>
          <w:rFonts w:ascii="Arial" w:cs="Arial" w:eastAsia="Arial" w:hAnsi="Arial"/>
          <w:sz w:val="20"/>
          <w:szCs w:val="20"/>
        </w:rPr>
        <w:t xml:space="preserve">Set up the credential vault (see Section 7)</w:t>
      </w:r>
    </w:p>
    <w:p>
      <w:pPr>
        <w:pStyle w:val="ListParagraph"/>
        <w:numPr>
          <w:ilvl w:val="0"/>
          <w:numId w:val="2"/>
        </w:numPr>
        <w:spacing w:before="60" w:after="60"/>
      </w:pPr>
      <w:r>
        <w:rPr>
          <w:rFonts w:ascii="Arial" w:cs="Arial" w:eastAsia="Arial" w:hAnsi="Arial"/>
          <w:sz w:val="20"/>
          <w:szCs w:val="20"/>
        </w:rPr>
        <w:t xml:space="preserve">Clone the repo from Azure DevOps (to be pushed — confirm with Michael)</w:t>
      </w:r>
    </w:p>
    <w:p>
      <w:pPr>
        <w:pStyle w:val="ListParagraph"/>
        <w:numPr>
          <w:ilvl w:val="0"/>
          <w:numId w:val="2"/>
        </w:numPr>
        <w:spacing w:before="60" w:after="60"/>
      </w:pPr>
      <w:r>
        <w:rPr>
          <w:rFonts w:ascii="Arial" w:cs="Arial" w:eastAsia="Arial" w:hAnsi="Arial"/>
          <w:sz w:val="20"/>
          <w:szCs w:val="20"/>
        </w:rPr>
        <w:t xml:space="preserve">Install Python dependencies: pip install oracledb python-dotenv</w:t>
      </w:r>
    </w:p>
    <w:p>
      <w:pPr>
        <w:pStyle w:val="ListParagraph"/>
        <w:numPr>
          <w:ilvl w:val="0"/>
          <w:numId w:val="2"/>
        </w:numPr>
        <w:spacing w:before="60" w:after="60"/>
      </w:pPr>
      <w:r>
        <w:rPr>
          <w:rFonts w:ascii="Arial" w:cs="Arial" w:eastAsia="Arial" w:hAnsi="Arial"/>
          <w:sz w:val="20"/>
          <w:szCs w:val="20"/>
        </w:rPr>
        <w:t xml:space="preserve">Verify .env is in place at skg/.env with correct wallet path and DSN</w:t>
      </w:r>
    </w:p>
    <w:p>
      <w:pPr>
        <w:spacing w:before="0" w:after="0"/>
      </w:pPr>
      <w:r>
        <w:t xml:space="preserve"/>
      </w:r>
    </w:p>
    <w:p>
      <w:pPr>
        <w:pStyle w:val="Heading2"/>
        <w:spacing w:before="240" w:after="120"/>
      </w:pPr>
      <w:r>
        <w:rPr>
          <w:rFonts w:ascii="Arial" w:cs="Arial" w:eastAsia="Arial" w:hAnsi="Arial"/>
          <w:b/>
          <w:bCs/>
          <w:color w:val="2E75B6"/>
          <w:sz w:val="26"/>
          <w:szCs w:val="26"/>
        </w:rPr>
        <w:t xml:space="preserve">First Run</w:t>
      </w:r>
    </w:p>
    <w:p>
      <w:pPr>
        <w:pStyle w:val="ListParagraph"/>
        <w:numPr>
          <w:ilvl w:val="0"/>
          <w:numId w:val="2"/>
        </w:numPr>
        <w:spacing w:before="60" w:after="60"/>
      </w:pPr>
      <w:r>
        <w:rPr>
          <w:rFonts w:ascii="Arial" w:cs="Arial" w:eastAsia="Arial" w:hAnsi="Arial"/>
          <w:sz w:val="20"/>
          <w:szCs w:val="20"/>
        </w:rPr>
        <w:t xml:space="preserve">Run with max_subjects = 10 and skip_download = n to validate end-to-end connectivity</w:t>
      </w:r>
    </w:p>
    <w:p>
      <w:pPr>
        <w:pStyle w:val="ListParagraph"/>
        <w:numPr>
          <w:ilvl w:val="0"/>
          <w:numId w:val="2"/>
        </w:numPr>
        <w:spacing w:before="60" w:after="60"/>
      </w:pPr>
      <w:r>
        <w:rPr>
          <w:rFonts w:ascii="Arial" w:cs="Arial" w:eastAsia="Arial" w:hAnsi="Arial"/>
          <w:sz w:val="20"/>
          <w:szCs w:val="20"/>
        </w:rPr>
        <w:t xml:space="preserve">Inspect output/output.ttl, output_sorted.ttl, and output_consolidated.trig</w:t>
      </w:r>
    </w:p>
    <w:p>
      <w:pPr>
        <w:pStyle w:val="ListParagraph"/>
        <w:numPr>
          <w:ilvl w:val="0"/>
          <w:numId w:val="2"/>
        </w:numPr>
        <w:spacing w:before="60" w:after="60"/>
      </w:pPr>
      <w:r>
        <w:rPr>
          <w:rFonts w:ascii="Arial" w:cs="Arial" w:eastAsia="Arial" w:hAnsi="Arial"/>
          <w:sz w:val="20"/>
          <w:szCs w:val="20"/>
        </w:rPr>
        <w:t xml:space="preserve">Run rdf_syntax.py against the consolidated file</w:t>
      </w:r>
    </w:p>
    <w:p>
      <w:pPr>
        <w:pStyle w:val="ListParagraph"/>
        <w:numPr>
          <w:ilvl w:val="0"/>
          <w:numId w:val="2"/>
        </w:numPr>
        <w:spacing w:before="60" w:after="60"/>
      </w:pPr>
      <w:r>
        <w:rPr>
          <w:rFonts w:ascii="Arial" w:cs="Arial" w:eastAsia="Arial" w:hAnsi="Arial"/>
          <w:sz w:val="20"/>
          <w:szCs w:val="20"/>
        </w:rPr>
        <w:t xml:space="preserve">Load the .trig file into GraphDB Desktop and run a test SPARQL query</w:t>
      </w:r>
    </w:p>
    <w:p>
      <w:pPr>
        <w:spacing w:before="0" w:after="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2E75B6" w:sz="4"/>
              <w:left w:val="thick" w:color="2E75B6" w:sz="12"/>
              <w:bottom w:val="single" w:color="2E75B6" w:sz="4"/>
              <w:right w:val="single" w:color="2E75B6" w:sz="4"/>
            </w:tcBorders>
            <w:shd w:fill="D6E4F0" w:val="clear"/>
            <w:tcMar>
              <w:top w:type="dxa" w:w="120"/>
              <w:left w:type="dxa" w:w="180"/>
              <w:bottom w:type="dxa" w:w="120"/>
              <w:right w:type="dxa" w:w="120"/>
            </w:tcMar>
          </w:tcPr>
          <w:p>
            <w:pPr>
              <w:spacing w:before="0" w:after="60"/>
            </w:pPr>
            <w:r>
              <w:rPr>
                <w:rFonts w:ascii="Arial" w:cs="Arial" w:eastAsia="Arial" w:hAnsi="Arial"/>
                <w:b/>
                <w:bCs/>
                <w:color w:val="4D3800"/>
                <w:sz w:val="20"/>
                <w:szCs w:val="20"/>
              </w:rPr>
              <w:t xml:space="preserve">Questions and next sessions:</w:t>
            </w:r>
          </w:p>
          <w:p>
            <w:pPr>
              <w:spacing w:before="0" w:after="0"/>
            </w:pPr>
            <w:r>
              <w:rPr>
                <w:rFonts w:ascii="Arial" w:cs="Arial" w:eastAsia="Arial" w:hAnsi="Arial"/>
                <w:color w:val="4D3800"/>
                <w:sz w:val="20"/>
                <w:szCs w:val="20"/>
              </w:rPr>
              <w:t xml:space="preserve">This document covers the high-level overview only. Subsequent sessions will cover: view deployment and metadata build process, adding a new content area, the supplemental TTL workflow, and the planned Version 2 architecture discussion including the all-tables question.</w:t>
            </w:r>
          </w:p>
        </w:tc>
      </w:tr>
    </w:tbl>
    <w:sectPr>
      <w:footerReference w:type="default" r:id="rId6"/>
      <w:pgSz w:w="12240" w:h="15840" w:orient="portrait"/>
      <w:pgMar w:top="1440" w:right="1260" w:bottom="1440" w:left="126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right"/>
    </w:pPr>
    <w:r>
      <w:rPr>
        <w:rFonts w:ascii="Arial" w:cs="Arial" w:eastAsia="Arial" w:hAnsi="Arial"/>
        <w:color w:val="888888"/>
        <w:sz w:val="16"/>
        <w:szCs w:val="16"/>
      </w:rPr>
      <w:t xml:space="preserve">Oracle Health &amp; AI | Multum SKG RDF Pipeline  |  p. </w:t>
    </w:r>
    <w:r>
      <w:rPr>
        <w:rFonts w:ascii="Arial" w:cs="Arial" w:eastAsia="Arial" w:hAnsi="Arial"/>
        <w:color w:val="888888"/>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360"/>
      </w:pPr>
    </w:lvl>
    <w:lvl w:ilvl="1" w15:tentative="1">
      <w:start w:val="1"/>
      <w:numFmt w:val="bullet"/>
      <w:lvlText w:val="◦"/>
      <w:lvlJc w:val="left"/>
      <w:pPr>
        <w:ind w:left="90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320" w:after="160"/>
      <w:outlineLvl w:val="0"/>
    </w:pPr>
    <w:rPr>
      <w:rFonts w:ascii="Arial" w:cs="Arial" w:eastAsia="Arial" w:hAnsi="Arial"/>
      <w:b/>
      <w:bCs/>
      <w:color w:val="1F4E79"/>
      <w:sz w:val="32"/>
      <w:szCs w:val="32"/>
    </w:rPr>
  </w:style>
  <w:style w:type="paragraph" w:styleId="Heading2">
    <w:name w:val="Heading 2"/>
    <w:basedOn w:val="Normal"/>
    <w:next w:val="Normal"/>
    <w:qFormat/>
    <w:pPr>
      <w:spacing w:before="240" w:after="120"/>
      <w:outlineLvl w:val="1"/>
    </w:pPr>
    <w:rPr>
      <w:rFonts w:ascii="Arial" w:cs="Arial" w:eastAsia="Arial" w:hAnsi="Arial"/>
      <w:b/>
      <w:bCs/>
      <w:color w:val="2E75B6"/>
      <w:sz w:val="26"/>
      <w:szCs w:val="26"/>
    </w:rPr>
  </w:style>
  <w:style w:type="paragraph" w:styleId="Heading3">
    <w:name w:val="Heading 3"/>
    <w:basedOn w:val="Normal"/>
    <w:next w:val="Normal"/>
    <w:qFormat/>
    <w:pPr>
      <w:spacing w:before="200" w:after="80"/>
      <w:outlineLvl w:val="2"/>
    </w:pPr>
    <w:rPr>
      <w:rFonts w:ascii="Arial" w:cs="Arial" w:eastAsia="Arial" w:hAnsi="Arial"/>
      <w:b/>
      <w:bCs/>
      <w:color w:val="404040"/>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2026-03-10T21:37:56.061Z</dcterms:created>
  <dcterms:modified xsi:type="dcterms:W3CDTF">2026-03-10T21:37:56.062Z</dcterms:modified>
</cp:coreProperties>
</file>

<file path=docProps/custom.xml><?xml version="1.0" encoding="utf-8"?>
<Properties xmlns="http://schemas.openxmlformats.org/officeDocument/2006/custom-properties" xmlns:vt="http://schemas.openxmlformats.org/officeDocument/2006/docPropsVTypes"/>
</file>