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after="200" w:before="360"/>
      </w:pPr>
      <w:r>
        <w:rPr>
          <w:b/>
          <w:bCs/>
        </w:rPr>
        <w:t xml:space="preserve">Key Accomplishments</w:t>
      </w:r>
    </w:p>
    <w:p>
      <w:pPr>
        <w:pBdr>
          <w:bottom w:val="single" w:color="2E75B6" w:sz="6" w:space="1"/>
        </w:pBdr>
        <w:spacing w:after="200" w:before="200"/>
      </w:pPr>
    </w:p>
    <w:p>
      <w:pPr>
        <w:pStyle w:val="Heading2"/>
        <w:spacing w:after="160" w:before="280"/>
      </w:pPr>
      <w:r>
        <w:rPr>
          <w:b/>
          <w:bCs/>
        </w:rPr>
        <w:t xml:space="preserve">Team Leadership &amp; Operational Excellence</w:t>
      </w:r>
    </w:p>
    <w:p>
      <w:pPr>
        <w:spacing w:after="160" w:line="276"/>
      </w:pPr>
      <w:r>
        <w:t xml:space="preserve">Managed day-to-day operations of the Multum Database Team across concurrent workstreams during significant organizational change and resource constraints.</w:t>
      </w:r>
    </w:p>
    <w:p>
      <w:pPr>
        <w:spacing w:after="160" w:line="276"/>
      </w:pPr>
      <w:r>
        <w:t xml:space="preserve">Identified that high-performing DBAs were absorbing disproportionate support load, reducing availability for strategic work. Restructured support into a tiered model aligned to existing skill sets, recovering senior development capacity for Reimagine and pipeline deliverables without degrading support coverage. Maintained continuous oversight across all three pillars of the Multum pipeline, enabling informed resource allocation and design decisions as requirements evolved.</w:t>
      </w:r>
    </w:p>
    <w:p>
      <w:pPr>
        <w:pStyle w:val="Heading2"/>
        <w:spacing w:after="160" w:before="280"/>
      </w:pPr>
      <w:r>
        <w:rPr>
          <w:b/>
          <w:bCs/>
        </w:rPr>
        <w:t xml:space="preserve">Organizational Flexibility &amp; Strategic Pivots</w:t>
      </w:r>
    </w:p>
    <w:p>
      <w:pPr>
        <w:spacing w:after="160" w:line="276"/>
      </w:pPr>
      <w:r>
        <w:t xml:space="preserve">Pivoted team focus from Gen1 to Gen2 initiatives and managed team realignment to support the organization’s Reimagine efforts, ensuring minimal disruption to active deliverables during the transition.</w:t>
      </w:r>
    </w:p>
    <w:p>
      <w:pPr>
        <w:pStyle w:val="Heading2"/>
        <w:spacing w:after="160" w:before="280"/>
      </w:pPr>
      <w:r>
        <w:rPr>
          <w:b/>
          <w:bCs/>
        </w:rPr>
        <w:t xml:space="preserve">Reimagine Project – Database Architecture Guidance (Force Multiplier)</w:t>
      </w:r>
    </w:p>
    <w:p>
      <w:pPr>
        <w:spacing w:after="160" w:line="276"/>
      </w:pPr>
      <w:r>
        <w:t xml:space="preserve">Served as technical advisor to DBAs within Content Creation and Acquisition, providing implementation guidance on database design patterns for Reimagine deliverables. Drove consistency across concurrent workstreams, reducing rework and extending impact well beyond the Multum Database Team’s immediate scope.</w:t>
      </w:r>
    </w:p>
    <w:p>
      <w:pPr>
        <w:pStyle w:val="Heading2"/>
        <w:spacing w:after="160" w:before="280"/>
      </w:pPr>
      <w:r>
        <w:rPr>
          <w:b/>
          <w:bCs/>
        </w:rPr>
        <w:t xml:space="preserve">Enterprise Database Migration – Gen1 to Oracle 26ai</w:t>
      </w:r>
    </w:p>
    <w:p>
      <w:pPr>
        <w:spacing w:after="160" w:line="276"/>
      </w:pPr>
      <w:r>
        <w:t xml:space="preserve">Led full migration of tables, indexes, data, and views from the Gen1 Global_Distribute schema to Oracle 26ai. Required mapping legacy schema structures, preserving referential integrity across large data sets, and validating index performance on the new platform. Removed a legacy dependency and enabled downstream teams to build on a modern database platform.</w:t>
      </w:r>
    </w:p>
    <w:p>
      <w:pPr>
        <w:pStyle w:val="Heading2"/>
        <w:spacing w:after="160" w:before="280"/>
      </w:pPr>
      <w:r>
        <w:rPr>
          <w:b/>
          <w:bCs/>
        </w:rPr>
        <w:t xml:space="preserve">Multum Content Acceleration to SKG</w:t>
      </w:r>
    </w:p>
    <w:p>
      <w:pPr>
        <w:spacing w:after="160" w:line="276"/>
      </w:pPr>
      <w:r>
        <w:t xml:space="preserve">Initiated at Cameron’s request to unblock Oracle Health &amp; AI teams on Millennium Reimagine projects, whose development was stalled without access to Multum’s pharmaceutical data sets in SKG.</w:t>
      </w:r>
    </w:p>
    <w:p>
      <w:pPr>
        <w:spacing w:after="160" w:line="276"/>
      </w:pPr>
      <w:r>
        <w:t xml:space="preserve">Delivered in 3 months, cutting the 6–8 month timeline by more than half, as the sole contributor after team reduction from 3–6 developers. Absorbed major requirements changes from SKG without timeline extension or additional resources.</w:t>
      </w:r>
    </w:p>
    <w:p>
      <w:pPr>
        <w:spacing w:after="160" w:line="276"/>
      </w:pPr>
      <w:r>
        <w:t xml:space="preserve">Architected an RDF Graph Structure Schema using Views and Metadata. Designed data-driven TTL generation leveraging Oracle 26ai system table metadata. Built a Python application for TTL/Trig file generation with integrated data and structural validation. Implemented automated testing and data-driven document generation with each release. Leveraged AI tooling and Oracle system tables to enable the compressed timeline.</w:t>
      </w:r>
    </w:p>
    <w:p>
      <w:pPr>
        <w:spacing w:after="160" w:line="276"/>
      </w:pPr>
      <w:r>
        <w:rPr>
          <w:b/>
          <w:bCs/>
        </w:rPr>
        <w:t xml:space="preserve">Metrics: </w:t>
      </w:r>
      <w:r>
        <w:t xml:space="preserve">6–8 months compressed to 3. Team of 3–6 reduced to 1. Zero timeline extensions despite significant scope changes. Directly unblocked Oracle Health &amp; AI development on the organization’s flagship initiative.</w:t>
      </w:r>
    </w:p>
    <w:p>
      <w:pPr>
        <w:pStyle w:val="Heading2"/>
        <w:spacing w:after="160" w:before="280"/>
      </w:pPr>
      <w:r>
        <w:rPr>
          <w:b/>
          <w:bCs/>
        </w:rPr>
        <w:t xml:space="preserve">NL2SQL / SELECT AI on Oracle 26ai (In Progress)</w:t>
      </w:r>
    </w:p>
    <w:p>
      <w:pPr>
        <w:spacing w:after="160" w:line="276"/>
      </w:pPr>
      <w:r>
        <w:t xml:space="preserve">Championed adoption of NL2SQL/SELECT AI on Oracle 26ai to enable natural language queries against Multum data sets. Democratizes data access, reduces DBA dependency for ad-hoc queries, and positions the team at the leading edge of Oracle 26ai’s AI-native capabilities.</w:t>
      </w:r>
    </w:p>
    <w:p>
      <w:r>
        <w:br w:type="page"/>
      </w:r>
    </w:p>
    <w:p>
      <w:pPr>
        <w:pStyle w:val="Heading1"/>
        <w:spacing w:after="200" w:before="360"/>
      </w:pPr>
      <w:r>
        <w:rPr>
          <w:b/>
          <w:bCs/>
        </w:rPr>
        <w:t xml:space="preserve">Strengths</w:t>
      </w:r>
    </w:p>
    <w:p>
      <w:pPr>
        <w:pBdr>
          <w:bottom w:val="single" w:color="2E75B6" w:sz="6" w:space="1"/>
        </w:pBdr>
        <w:spacing w:after="200" w:before="200"/>
      </w:pPr>
    </w:p>
    <w:p>
      <w:pPr>
        <w:pStyle w:val="Heading2"/>
        <w:spacing w:after="160" w:before="280"/>
      </w:pPr>
      <w:r>
        <w:rPr>
          <w:b/>
          <w:bCs/>
        </w:rPr>
        <w:t xml:space="preserve">Ownership &amp; Accountability</w:t>
      </w:r>
    </w:p>
    <w:p>
      <w:pPr>
        <w:spacing w:after="160" w:line="276"/>
      </w:pPr>
      <w:r>
        <w:t xml:space="preserve">Takes full ownership regardless of constraints. When the SKG team was reduced to a single contributor, the response was delivery in 3 months, not an escalation for headcount. Requirements changes were absorbed without renegotiating scope or schedule.</w:t>
      </w:r>
    </w:p>
    <w:p>
      <w:pPr>
        <w:pStyle w:val="Heading2"/>
        <w:spacing w:after="160" w:before="280"/>
      </w:pPr>
      <w:r>
        <w:rPr>
          <w:b/>
          <w:bCs/>
        </w:rPr>
        <w:t xml:space="preserve">Bias for Action</w:t>
      </w:r>
    </w:p>
    <w:p>
      <w:pPr>
        <w:spacing w:after="160" w:line="276"/>
      </w:pPr>
      <w:r>
        <w:t xml:space="preserve">Compressed SKG from 6–8 months to 3 by identifying and leveraging AI tooling and Oracle system table architecture rather than following the original approach. Initiated NL2SQL proactively before it became a formal organizational ask.</w:t>
      </w:r>
    </w:p>
    <w:p>
      <w:pPr>
        <w:pStyle w:val="Heading2"/>
        <w:spacing w:after="160" w:before="280"/>
      </w:pPr>
      <w:r>
        <w:rPr>
          <w:b/>
          <w:bCs/>
        </w:rPr>
        <w:t xml:space="preserve">Deliver Results Under Pressure</w:t>
      </w:r>
    </w:p>
    <w:p>
      <w:pPr>
        <w:spacing w:after="160" w:line="276"/>
      </w:pPr>
      <w:r>
        <w:t xml:space="preserve">Executive-requested, team-reduced, scope-expanded, and still delivered on a compressed timeline. The Gen1 migration and Gen1-to-Gen2 pivot demonstrate the same pattern of maintaining velocity through disruption.</w:t>
      </w:r>
    </w:p>
    <w:p>
      <w:pPr>
        <w:pStyle w:val="Heading2"/>
        <w:spacing w:after="160" w:before="280"/>
      </w:pPr>
      <w:r>
        <w:rPr>
          <w:b/>
          <w:bCs/>
        </w:rPr>
        <w:t xml:space="preserve">Strategic Resource Optimization</w:t>
      </w:r>
    </w:p>
    <w:p>
      <w:pPr>
        <w:spacing w:after="160" w:line="276"/>
      </w:pPr>
      <w:r>
        <w:t xml:space="preserve">Recognized high performers were buried in reactive support, built a tiered model to fix it, and recovered development capacity. Operational leadership, not task management.</w:t>
      </w:r>
    </w:p>
    <w:p>
      <w:pPr>
        <w:pStyle w:val="Heading2"/>
        <w:spacing w:after="160" w:before="280"/>
      </w:pPr>
      <w:r>
        <w:rPr>
          <w:b/>
          <w:bCs/>
        </w:rPr>
        <w:t xml:space="preserve">Technical Depth with Cross-Team Reach</w:t>
      </w:r>
    </w:p>
    <w:p>
      <w:pPr>
        <w:spacing w:after="160" w:line="276"/>
      </w:pPr>
      <w:r>
        <w:t xml:space="preserve">Database architecture advisor to Content Creation and Acquisition on Reimagine. Domain awareness across all three Multum pipeline pillars. Depth plus breadth is what makes the force multiplier pattern repeatable.</w:t>
      </w:r>
    </w:p>
    <w:p>
      <w:pPr>
        <w:pStyle w:val="Heading2"/>
        <w:spacing w:after="160" w:before="280"/>
      </w:pPr>
      <w:r>
        <w:rPr>
          <w:b/>
          <w:bCs/>
        </w:rPr>
        <w:t xml:space="preserve">Adaptability &amp; Organizational Alignment</w:t>
      </w:r>
    </w:p>
    <w:p>
      <w:pPr>
        <w:spacing w:after="160" w:line="276"/>
      </w:pPr>
      <w:r>
        <w:t xml:space="preserve">The Gen1-to-Gen2 pivot required rethinking team assignments, deliverable priorities, and support structures simultaneously. Executed without passing disruption downstream.</w:t>
      </w:r>
    </w:p>
    <w:p>
      <w:pPr>
        <w:pStyle w:val="Heading2"/>
        <w:spacing w:after="160" w:before="280"/>
      </w:pPr>
      <w:r>
        <w:rPr>
          <w:b/>
          <w:bCs/>
        </w:rPr>
        <w:t xml:space="preserve">Innovation &amp; Continuous Improvement</w:t>
      </w:r>
    </w:p>
    <w:p>
      <w:pPr>
        <w:spacing w:after="160" w:line="276"/>
      </w:pPr>
      <w:r>
        <w:t xml:space="preserve">AI tooling to compress the SKG timeline. Automated testing and release documentation replacing manual processes. NL2SQL to democratize data access. A pattern of questioning existing approaches and building toward scalable alternatives.</w:t>
      </w:r>
    </w:p>
    <w:p>
      <w:r>
        <w:br w:type="page"/>
      </w:r>
    </w:p>
    <w:p>
      <w:pPr>
        <w:pStyle w:val="Heading1"/>
        <w:spacing w:after="200" w:before="360"/>
      </w:pPr>
      <w:r>
        <w:rPr>
          <w:b/>
          <w:bCs/>
        </w:rPr>
        <w:t xml:space="preserve">Areas for Development</w:t>
      </w:r>
    </w:p>
    <w:p>
      <w:pPr>
        <w:pBdr>
          <w:bottom w:val="single" w:color="2E75B6" w:sz="6" w:space="1"/>
        </w:pBdr>
        <w:spacing w:after="200" w:before="200"/>
      </w:pPr>
    </w:p>
    <w:p>
      <w:pPr>
        <w:pStyle w:val="Heading2"/>
        <w:spacing w:after="160" w:before="280"/>
      </w:pPr>
      <w:r>
        <w:rPr>
          <w:b/>
          <w:bCs/>
        </w:rPr>
        <w:t xml:space="preserve">AI Implementation Depth</w:t>
      </w:r>
    </w:p>
    <w:p>
      <w:pPr>
        <w:spacing w:after="160" w:line="276"/>
      </w:pPr>
      <w:r>
        <w:t xml:space="preserve">Currently engaged in structured learning around AI implementations, OCI, and Oracle 26ai’s AI-native feature set, with NL2SQL as the first practical application. The opportunity is to deepen fluency across vector search, retrieval-augmented generation (RAG), and AI-assisted pipeline optimization, establishing the Multum Database Team as an internal center of competency for AI-augmented database operations.</w:t>
      </w:r>
    </w:p>
    <w:p>
      <w:pPr>
        <w:pStyle w:val="Heading2"/>
        <w:spacing w:after="160" w:before="280"/>
      </w:pPr>
      <w:r>
        <w:rPr>
          <w:b/>
          <w:bCs/>
        </w:rPr>
        <w:t xml:space="preserve">Stakeholder Communication &amp; Visibility</w:t>
      </w:r>
    </w:p>
    <w:p>
      <w:pPr>
        <w:spacing w:after="160" w:line="276"/>
      </w:pPr>
      <w:r>
        <w:t xml:space="preserve">Several significant accomplishments, particularly the SKG timeline compression and support restructuring, were executed with minimal organizational visibility. The opportunity is to implement a cadence of lightweight status communications ensuring outcomes are surfaced to stakeholders in real time, not just at review time.</w:t>
      </w:r>
    </w:p>
    <w:p>
      <w:pPr>
        <w:pStyle w:val="Heading2"/>
        <w:spacing w:after="160" w:before="280"/>
      </w:pPr>
      <w:r>
        <w:rPr>
          <w:b/>
          <w:bCs/>
        </w:rPr>
        <w:t xml:space="preserve">Scaling Leadership Through Delegation</w:t>
      </w:r>
    </w:p>
    <w:p>
      <w:pPr>
        <w:spacing w:after="160" w:line="276"/>
      </w:pPr>
      <w:r>
        <w:t xml:space="preserve">The SKG acceleration demonstrated exceptional individual execution. The opportunity is to build that capability into the team through targeted mentoring on RDF/graph architecture and AI tooling, creating a bench for future high-priority initiatives and reducing single-contributor dependency.</w:t>
      </w:r>
    </w:p>
    <w:p>
      <w:pPr>
        <w:pStyle w:val="Heading2"/>
        <w:spacing w:after="160" w:before="280"/>
      </w:pPr>
      <w:r>
        <w:rPr>
          <w:b/>
          <w:bCs/>
        </w:rPr>
        <w:t xml:space="preserve">Cloud Architecture &amp; Infrastructure-as-Code</w:t>
      </w:r>
    </w:p>
    <w:p>
      <w:pPr>
        <w:spacing w:after="160" w:line="276"/>
      </w:pPr>
      <w:r>
        <w:t xml:space="preserve">As the organization moves deeper into OCI, expanding proficiency in Terraform, containerized database deployments, and cloud-native monitoring would enable the team to own the full lifecycle of database services in cloud environments. Pursuing OCI certification alongside the current AI learning track.</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360"/>
      <w:outlineLvl w:val="0"/>
    </w:pPr>
    <w:rPr>
      <w:rFonts w:ascii="Arial" w:cs="Arial" w:eastAsia="Arial" w:hAnsi="Arial"/>
      <w:b/>
      <w:bCs/>
      <w:color w:val="1F3864"/>
      <w:sz w:val="32"/>
      <w:szCs w:val="32"/>
    </w:rPr>
  </w:style>
  <w:style w:type="paragraph" w:styleId="Heading2">
    <w:name w:val="Heading 2"/>
    <w:basedOn w:val="Normal"/>
    <w:next w:val="Normal"/>
    <w:qFormat/>
    <w:pPr>
      <w:spacing w:after="160" w:before="280"/>
      <w:outlineLvl w:val="1"/>
    </w:pPr>
    <w:rPr>
      <w:rFonts w:ascii="Arial" w:cs="Arial" w:eastAsia="Arial" w:hAnsi="Arial"/>
      <w:b/>
      <w:bCs/>
      <w:color w:val="2E75B6"/>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2026-03-03T20:22:13.778Z</dcterms:created>
  <dcterms:modified xsi:type="dcterms:W3CDTF">2026-03-03T20:22:13.779Z</dcterms:modified>
</cp:coreProperties>
</file>

<file path=docProps/custom.xml><?xml version="1.0" encoding="utf-8"?>
<Properties xmlns="http://schemas.openxmlformats.org/officeDocument/2006/custom-properties" xmlns:vt="http://schemas.openxmlformats.org/officeDocument/2006/docPropsVTypes"/>
</file>